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20AA08" w14:textId="7554922F" w:rsidR="007C4FC9" w:rsidRDefault="003A129A" w:rsidP="007C4FC9">
      <w:pPr>
        <w:jc w:val="right"/>
        <w:rPr>
          <w:b/>
          <w:bCs/>
        </w:rPr>
      </w:pPr>
      <w:bookmarkStart w:id="0" w:name="_GoBack"/>
      <w:bookmarkEnd w:id="0"/>
      <w:r>
        <w:rPr>
          <w:b/>
          <w:bCs/>
        </w:rPr>
        <w:t>D</w:t>
      </w:r>
      <w:r w:rsidR="00E53EE1">
        <w:rPr>
          <w:b/>
          <w:bCs/>
        </w:rPr>
        <w:t>I</w:t>
      </w:r>
      <w:r>
        <w:rPr>
          <w:b/>
          <w:bCs/>
        </w:rPr>
        <w:t>VISÃO ADMINISTRATIVA E PREVIDENCIÁRIA DOS SERVIDORES (AS) PÚBLICOS FEDERAIS.</w:t>
      </w:r>
      <w:r>
        <w:rPr>
          <w:b/>
          <w:bCs/>
        </w:rPr>
        <w:br/>
      </w:r>
      <w:r w:rsidR="00DC2624" w:rsidRPr="00840693">
        <w:rPr>
          <w:b/>
          <w:bCs/>
        </w:rPr>
        <w:t>Quem são os servidores públicos federais do Poder Executivo Civil e como são divididos</w:t>
      </w:r>
      <w:r w:rsidR="007C4FC9">
        <w:rPr>
          <w:b/>
          <w:bCs/>
        </w:rPr>
        <w:t>?</w:t>
      </w:r>
    </w:p>
    <w:p w14:paraId="28468C3A" w14:textId="16CDC58F" w:rsidR="00CB75FB" w:rsidRDefault="007C4FC9" w:rsidP="007C4FC9">
      <w:pPr>
        <w:jc w:val="right"/>
        <w:rPr>
          <w:b/>
          <w:bCs/>
        </w:rPr>
      </w:pPr>
      <w:r>
        <w:rPr>
          <w:b/>
          <w:bCs/>
        </w:rPr>
        <w:br/>
        <w:t>Por Paulo Lindesay – Diretor da Executiva Nacional da ASSIBGE-SN</w:t>
      </w:r>
      <w:r>
        <w:rPr>
          <w:b/>
          <w:bCs/>
        </w:rPr>
        <w:br/>
        <w:t>Coordenador do Núcleo Sindical Canabarro</w:t>
      </w:r>
      <w:r>
        <w:rPr>
          <w:b/>
          <w:bCs/>
        </w:rPr>
        <w:br/>
        <w:t>Coordenador da Auditoria Cidadã da Dívida Núcleo RJ.</w:t>
      </w:r>
    </w:p>
    <w:p w14:paraId="341E6F24" w14:textId="77777777" w:rsidR="007C4FC9" w:rsidRPr="00840693" w:rsidRDefault="007C4FC9" w:rsidP="007C4FC9">
      <w:pPr>
        <w:jc w:val="right"/>
        <w:rPr>
          <w:b/>
          <w:bCs/>
        </w:rPr>
      </w:pPr>
    </w:p>
    <w:p w14:paraId="4970EEE7" w14:textId="5CDFEF98" w:rsidR="001F4F23" w:rsidRDefault="001F4F23" w:rsidP="00840693">
      <w:pPr>
        <w:jc w:val="both"/>
      </w:pPr>
      <w:r w:rsidRPr="001F4F23">
        <w:t>Este texto tem como finalidade informar e esclarecer os fundamentos dos trabalhadores (as) públicos a respeito de quem são os servidores públicos aposentados do Poder Executivo civil e como eles estão classificados de acordo com a lei. Entretanto, antes de começarmos nosso texto, é necessário estabelecer como os servidores públicos são definidos em relação à estabilidade e efetividade, tanto na Constituição quanto n</w:t>
      </w:r>
      <w:r>
        <w:t>o</w:t>
      </w:r>
      <w:r w:rsidRPr="001F4F23">
        <w:t xml:space="preserve"> estatuto.</w:t>
      </w:r>
    </w:p>
    <w:p w14:paraId="0D93404C" w14:textId="452C2414" w:rsidR="007A2247" w:rsidRPr="007A2247" w:rsidRDefault="007A2247" w:rsidP="00840693">
      <w:pPr>
        <w:jc w:val="both"/>
        <w:rPr>
          <w:b/>
          <w:bCs/>
        </w:rPr>
      </w:pPr>
      <w:r w:rsidRPr="007A2247">
        <w:rPr>
          <w:b/>
          <w:bCs/>
        </w:rPr>
        <w:t>Servidor (a) Excepcional</w:t>
      </w:r>
    </w:p>
    <w:p w14:paraId="5465DB83" w14:textId="4043600C" w:rsidR="0031055D" w:rsidRDefault="0031055D" w:rsidP="00840693">
      <w:pPr>
        <w:jc w:val="both"/>
      </w:pPr>
      <w:r w:rsidRPr="0031055D">
        <w:t xml:space="preserve">O </w:t>
      </w:r>
      <w:r w:rsidRPr="007A2247">
        <w:rPr>
          <w:b/>
          <w:bCs/>
          <w:i/>
          <w:iCs/>
        </w:rPr>
        <w:t>artigo 19 do Ato das Disposições Constitucionais Transitórias (ADCT)</w:t>
      </w:r>
      <w:r w:rsidRPr="0031055D">
        <w:t xml:space="preserve"> da Constituição Federal de 1988, abordou a estabilidade excepcional de servidores públicos que não foram </w:t>
      </w:r>
      <w:r w:rsidRPr="007A2247">
        <w:rPr>
          <w:b/>
          <w:bCs/>
          <w:i/>
          <w:iCs/>
        </w:rPr>
        <w:t>admitidos por meio de concurso público</w:t>
      </w:r>
      <w:r w:rsidRPr="0031055D">
        <w:t xml:space="preserve">. Ao longo do tempo, sua interpretação e aplicação foram consolidadas pelo STF, tornando-se um ponto central na análise da </w:t>
      </w:r>
      <w:r w:rsidRPr="007A2247">
        <w:rPr>
          <w:b/>
          <w:bCs/>
          <w:i/>
          <w:iCs/>
        </w:rPr>
        <w:t>estabilidade excepcional</w:t>
      </w:r>
      <w:r w:rsidRPr="0031055D">
        <w:t xml:space="preserve"> de 5 anos contínuos entre 5</w:t>
      </w:r>
      <w:r w:rsidR="007A2247">
        <w:t xml:space="preserve"> de outubro de 1983</w:t>
      </w:r>
      <w:r w:rsidRPr="0031055D">
        <w:t xml:space="preserve"> e 5</w:t>
      </w:r>
      <w:r w:rsidR="007A2247">
        <w:t xml:space="preserve"> de outubro de </w:t>
      </w:r>
      <w:r w:rsidRPr="0031055D">
        <w:t xml:space="preserve">1988). Portanto, todos (as) servidores públicos admitidos antes de 1983, sem concursos, tendo 5 anos continuados nos serviços públicos, após a promulgação da constituição. Foram considerados </w:t>
      </w:r>
      <w:r w:rsidRPr="007A2247">
        <w:rPr>
          <w:b/>
          <w:bCs/>
          <w:i/>
          <w:iCs/>
        </w:rPr>
        <w:t>estáveis excepcionais</w:t>
      </w:r>
      <w:r w:rsidRPr="0031055D">
        <w:t>, porém não estáveis efetivos.</w:t>
      </w:r>
    </w:p>
    <w:p w14:paraId="6BDA4657" w14:textId="4FD38D48" w:rsidR="007A2247" w:rsidRPr="007A2247" w:rsidRDefault="007A2247" w:rsidP="00840693">
      <w:pPr>
        <w:jc w:val="both"/>
        <w:rPr>
          <w:b/>
          <w:bCs/>
        </w:rPr>
      </w:pPr>
      <w:r w:rsidRPr="007A2247">
        <w:rPr>
          <w:b/>
          <w:bCs/>
        </w:rPr>
        <w:t>Servidor Não Estáveis</w:t>
      </w:r>
    </w:p>
    <w:p w14:paraId="17DD6CBF" w14:textId="26513057" w:rsidR="003550CF" w:rsidRDefault="00DA2BF1" w:rsidP="00DA2BF1">
      <w:pPr>
        <w:jc w:val="both"/>
      </w:pPr>
      <w:r w:rsidRPr="00DA2BF1">
        <w:t xml:space="preserve">Por sua vez, a Emenda Constitucional n.º 19/1998 estabeleceu como os servidores públicos são reconhecidos quanto à estabilidade. O Art. 33 da emenda constitucional estabelece que, para os fins do art. 169, § 3º, II, da Constituição Federal, são considerados servidores </w:t>
      </w:r>
      <w:r w:rsidRPr="00A854B5">
        <w:rPr>
          <w:b/>
          <w:bCs/>
          <w:i/>
          <w:iCs/>
        </w:rPr>
        <w:t>não estáveis</w:t>
      </w:r>
      <w:r w:rsidRPr="00DA2BF1">
        <w:t xml:space="preserve"> os indivíduos admitidos na administração direta, autárquica e fundacional </w:t>
      </w:r>
      <w:r w:rsidRPr="00A854B5">
        <w:rPr>
          <w:b/>
          <w:bCs/>
          <w:i/>
          <w:iCs/>
        </w:rPr>
        <w:t>sem a realização de concurso público</w:t>
      </w:r>
      <w:r w:rsidRPr="00DA2BF1">
        <w:t xml:space="preserve"> de provas ou de provas e títulos após 5 de outubro de 1983. Como podemos ver, a estabilidade dos servidores públicos não é uma questão automática. Há uma restrição prevista na Constituição.</w:t>
      </w:r>
    </w:p>
    <w:p w14:paraId="5AD56EE7" w14:textId="5F01137B" w:rsidR="00A854B5" w:rsidRDefault="00A854B5" w:rsidP="00DA2BF1">
      <w:pPr>
        <w:jc w:val="both"/>
        <w:rPr>
          <w:b/>
          <w:bCs/>
        </w:rPr>
      </w:pPr>
      <w:r w:rsidRPr="00A854B5">
        <w:rPr>
          <w:b/>
          <w:bCs/>
        </w:rPr>
        <w:t>Servidor (a) Estável Efetivo</w:t>
      </w:r>
    </w:p>
    <w:p w14:paraId="18313CAC" w14:textId="63FBA988" w:rsidR="00A854B5" w:rsidRDefault="006C7C65" w:rsidP="00A854B5">
      <w:pPr>
        <w:jc w:val="both"/>
      </w:pPr>
      <w:r w:rsidRPr="006C7C65">
        <w:t xml:space="preserve">O Art. 6º da Emenda Constitucional n° 19/1998 determinou que, de acordo com o art. 41 da Constituição Federal, os servidores nomeados para cargos de provimento efetivo por meio de concurso público adquirem estabilidade após três anos de exercício efetivo. Como podemos observar, existe uma distinção importante entre servidor(a) estável excepcional e servidor(a) estável efetivo. O primeiro entrou no serviço público sem prestar concurso, ao passo que o segundo ingressou no serviço público em decorrência de seu concurso. Essa diferenciação pode sinalizar a possibilidade de criação ou transformação de cargos dentro dos órgãos, bem como a ocupação de </w:t>
      </w:r>
      <w:r w:rsidR="006E46D2">
        <w:t>cargos</w:t>
      </w:r>
      <w:r w:rsidRPr="006C7C65">
        <w:t xml:space="preserve"> que venham a ficar vag</w:t>
      </w:r>
      <w:r w:rsidR="006E46D2">
        <w:t>o</w:t>
      </w:r>
      <w:r w:rsidRPr="006C7C65">
        <w:t xml:space="preserve">s. Isso está bastante em sintonia com as alterações propostas pelas PECs 32 e 38. </w:t>
      </w:r>
      <w:r w:rsidR="00522912" w:rsidRPr="00522912">
        <w:t>Cargos considerados obsoletos ou sem mais interesse para a administração poderão ser extintos, resultando na demissão de seus ocupantes.</w:t>
      </w:r>
    </w:p>
    <w:p w14:paraId="5962493F" w14:textId="65003FA9" w:rsidR="008831B4" w:rsidRDefault="008831B4" w:rsidP="00A854B5">
      <w:pPr>
        <w:jc w:val="both"/>
      </w:pPr>
      <w:r w:rsidRPr="008831B4">
        <w:t xml:space="preserve">O </w:t>
      </w:r>
      <w:r w:rsidRPr="008831B4">
        <w:rPr>
          <w:b/>
          <w:bCs/>
        </w:rPr>
        <w:t>artigo 10</w:t>
      </w:r>
      <w:r w:rsidRPr="008831B4">
        <w:rPr>
          <w:b/>
          <w:bCs/>
          <w:vertAlign w:val="superscript"/>
        </w:rPr>
        <w:t>0</w:t>
      </w:r>
      <w:r w:rsidRPr="008831B4">
        <w:rPr>
          <w:b/>
          <w:bCs/>
        </w:rPr>
        <w:t xml:space="preserve"> da Lei 8112/1990</w:t>
      </w:r>
      <w:r w:rsidRPr="008831B4">
        <w:t xml:space="preserve">, que estabelece o regime jurídico único, confirma que servidores estáveis e efetivos devem sempre ser concursados. </w:t>
      </w:r>
      <w:r>
        <w:t>Art.</w:t>
      </w:r>
      <w:r w:rsidRPr="008831B4">
        <w:t>10</w:t>
      </w:r>
      <w:r>
        <w:t xml:space="preserve"> - </w:t>
      </w:r>
      <w:r w:rsidRPr="008831B4">
        <w:t xml:space="preserve">A nomeação para cargo </w:t>
      </w:r>
      <w:r w:rsidRPr="008831B4">
        <w:lastRenderedPageBreak/>
        <w:t>de carreira ou cargo isolado de provimento efetivo requer prévia aprovação em concurso público, seja apenas de provas ou de provas e títulos.</w:t>
      </w:r>
    </w:p>
    <w:p w14:paraId="27907941" w14:textId="5A604A23" w:rsidR="00FA1824" w:rsidRDefault="007040DA" w:rsidP="00A854B5">
      <w:pPr>
        <w:jc w:val="both"/>
      </w:pPr>
      <w:r w:rsidRPr="007040DA">
        <w:t xml:space="preserve">Após </w:t>
      </w:r>
      <w:r w:rsidR="001F4F23" w:rsidRPr="007040DA">
        <w:t>a</w:t>
      </w:r>
      <w:r w:rsidR="001F4F23">
        <w:t>s</w:t>
      </w:r>
      <w:r w:rsidR="001F4F23" w:rsidRPr="007040DA">
        <w:t xml:space="preserve"> explicações</w:t>
      </w:r>
      <w:r w:rsidRPr="007040DA">
        <w:t xml:space="preserve"> sobre quem são os servidores e servidoras. Agora, vamos analisar </w:t>
      </w:r>
      <w:r>
        <w:t xml:space="preserve">as formas de </w:t>
      </w:r>
      <w:r w:rsidRPr="007040DA">
        <w:t>aposentadoria</w:t>
      </w:r>
      <w:r>
        <w:t>s</w:t>
      </w:r>
      <w:r w:rsidRPr="007040DA">
        <w:t xml:space="preserve"> </w:t>
      </w:r>
      <w:r>
        <w:t>e pensões nos serviços públicos do Poder Executivo Civil.</w:t>
      </w:r>
    </w:p>
    <w:p w14:paraId="5D271C28" w14:textId="259FE795" w:rsidR="00B318EA" w:rsidRDefault="00B318EA" w:rsidP="00A854B5">
      <w:pPr>
        <w:jc w:val="both"/>
        <w:rPr>
          <w:b/>
          <w:bCs/>
        </w:rPr>
      </w:pPr>
      <w:r w:rsidRPr="00B318EA">
        <w:rPr>
          <w:b/>
          <w:bCs/>
        </w:rPr>
        <w:t>De que maneira os servidores públicos federais estão estruturados em relação à aposentadoria</w:t>
      </w:r>
      <w:r>
        <w:rPr>
          <w:b/>
          <w:bCs/>
        </w:rPr>
        <w:t>.</w:t>
      </w:r>
    </w:p>
    <w:p w14:paraId="50A234C1" w14:textId="7B5E225E" w:rsidR="00166050" w:rsidRDefault="00166050" w:rsidP="00A854B5">
      <w:pPr>
        <w:jc w:val="both"/>
        <w:rPr>
          <w:b/>
          <w:bCs/>
        </w:rPr>
      </w:pPr>
      <w:r w:rsidRPr="00166050">
        <w:rPr>
          <w:b/>
          <w:bCs/>
        </w:rPr>
        <w:t>Aposentados com Paridade e Integralidade.</w:t>
      </w:r>
    </w:p>
    <w:p w14:paraId="1784BC81" w14:textId="7D6B262A" w:rsidR="007040DA" w:rsidRDefault="00231698" w:rsidP="00A854B5">
      <w:pPr>
        <w:jc w:val="both"/>
      </w:pPr>
      <w:r w:rsidRPr="00231698">
        <w:t>A reforma da Previdência foi aprovada em 2003 por meio da Emenda Constitucional 41. O artigo 6</w:t>
      </w:r>
      <w:r w:rsidRPr="00231698">
        <w:rPr>
          <w:vertAlign w:val="superscript"/>
        </w:rPr>
        <w:t>0</w:t>
      </w:r>
      <w:r w:rsidRPr="00231698">
        <w:t xml:space="preserve"> assegura a paridade e integralidade salarial dos servidores públicos admitidos até dezembro de 2003. Assim, todos os servidores admitidos até essa data terão garantida a paridade e a integralidade salarial nos benefícios de aposentadoria e pensão.</w:t>
      </w:r>
      <w:r>
        <w:t xml:space="preserve"> </w:t>
      </w:r>
      <w:r w:rsidRPr="00231698">
        <w:t>Como podemos ver, a paridade e a integralidade não se aplicam a todos os servidores</w:t>
      </w:r>
      <w:r>
        <w:t>, somente a esse grupo contidos nesse intervalo.</w:t>
      </w:r>
    </w:p>
    <w:p w14:paraId="3393FA4E" w14:textId="7CA7CB1B" w:rsidR="00B318EA" w:rsidRDefault="00B318EA" w:rsidP="00A854B5">
      <w:pPr>
        <w:jc w:val="both"/>
        <w:rPr>
          <w:b/>
          <w:bCs/>
        </w:rPr>
      </w:pPr>
      <w:r w:rsidRPr="00B318EA">
        <w:rPr>
          <w:b/>
          <w:bCs/>
        </w:rPr>
        <w:t>Aposentados pela média das 80</w:t>
      </w:r>
      <w:r w:rsidR="008831B4">
        <w:rPr>
          <w:b/>
          <w:bCs/>
        </w:rPr>
        <w:t>%</w:t>
      </w:r>
      <w:r w:rsidRPr="00B318EA">
        <w:rPr>
          <w:b/>
          <w:bCs/>
        </w:rPr>
        <w:t xml:space="preserve"> maiores remunerações</w:t>
      </w:r>
    </w:p>
    <w:p w14:paraId="16249DA8" w14:textId="477CB6EA" w:rsidR="00B318EA" w:rsidRDefault="00312BDF" w:rsidP="00312BDF">
      <w:pPr>
        <w:jc w:val="both"/>
      </w:pPr>
      <w:r w:rsidRPr="00312BDF">
        <w:t xml:space="preserve">A Emenda Constitucional 41/2003, em seu artigo 2º, estabelece a regra de transição, na qual a aposentadoria é determinada pela média, ao contrário da paridade ou da última remuneração. Essa regra é válida para servidores que ingressaram até 31/12/2003 e cumpriram os requisitos a partir de 01/01/2004, utilizando a média aritmética de 80% das contribuições mais altas desde julho de 1994. Assim, aqui está outro método de cálculo das aposentadorias e pensões no setor público, que afeta de maneira distinta os salários compostos por gratificações de desempenho. Como esses servidores se aposentam com base na média </w:t>
      </w:r>
      <w:r>
        <w:t>de</w:t>
      </w:r>
      <w:r w:rsidRPr="00312BDF">
        <w:t xml:space="preserve"> 80</w:t>
      </w:r>
      <w:r>
        <w:t>% das</w:t>
      </w:r>
      <w:r w:rsidRPr="00312BDF">
        <w:t xml:space="preserve"> maiores remunerações, não há redução percentual dessas gratificações</w:t>
      </w:r>
      <w:r>
        <w:t xml:space="preserve"> de desempenho</w:t>
      </w:r>
      <w:r w:rsidRPr="00312BDF">
        <w:t>. Ao contrário dos aposentados com integralidade e paridade, que perdem metade das gratificações de desempenho ao se aposentarem.</w:t>
      </w:r>
    </w:p>
    <w:p w14:paraId="180A0271" w14:textId="1BE4756A" w:rsidR="00312BDF" w:rsidRDefault="00312BDF" w:rsidP="00312BDF">
      <w:pPr>
        <w:jc w:val="both"/>
        <w:rPr>
          <w:b/>
          <w:bCs/>
        </w:rPr>
      </w:pPr>
      <w:r w:rsidRPr="00312BDF">
        <w:rPr>
          <w:b/>
          <w:bCs/>
        </w:rPr>
        <w:t xml:space="preserve">Aposentados pela Previdência Complementar </w:t>
      </w:r>
      <w:r>
        <w:rPr>
          <w:b/>
          <w:bCs/>
        </w:rPr>
        <w:t>–</w:t>
      </w:r>
      <w:r w:rsidRPr="00312BDF">
        <w:rPr>
          <w:b/>
          <w:bCs/>
        </w:rPr>
        <w:t xml:space="preserve"> FUNPRESP</w:t>
      </w:r>
    </w:p>
    <w:p w14:paraId="22DB03F4" w14:textId="0786B90C" w:rsidR="00312BDF" w:rsidRDefault="00151768" w:rsidP="00151768">
      <w:pPr>
        <w:jc w:val="both"/>
      </w:pPr>
      <w:r w:rsidRPr="00151768">
        <w:t>Com a aprovação da Lei 12.618 em 2012 e a implementação da previdência complementar</w:t>
      </w:r>
      <w:r>
        <w:t xml:space="preserve"> (FUNPRESP)</w:t>
      </w:r>
      <w:r w:rsidRPr="00151768">
        <w:t>, os serviços públicos passaram a adotar um sistema previdenciário híbrido. Até o teto do INSS (R$ 8.475,55), a contribuição previdenciária é solidária; acima desse montante, a contribuição passou a ser individual</w:t>
      </w:r>
      <w:r>
        <w:t xml:space="preserve"> certa e os benefícios incertos que dependerão da aplicação do patrimônio do FUNPRESP no mercado financeiro</w:t>
      </w:r>
      <w:r w:rsidRPr="00151768">
        <w:t xml:space="preserve">. </w:t>
      </w:r>
      <w:r w:rsidR="00066CDE">
        <w:t>A previdência Complementar e a concretização do</w:t>
      </w:r>
      <w:r w:rsidRPr="00151768">
        <w:t xml:space="preserve"> rompimento da solidariedade</w:t>
      </w:r>
      <w:r w:rsidR="00066CDE">
        <w:t xml:space="preserve"> d</w:t>
      </w:r>
      <w:r w:rsidRPr="00151768">
        <w:t xml:space="preserve">o regime próprio de previdência social (RPPS). A Emenda Constitucional n° 103/2019, </w:t>
      </w:r>
      <w:r w:rsidR="00066CDE">
        <w:t>a</w:t>
      </w:r>
      <w:r w:rsidRPr="00151768">
        <w:t>rtigo 40 e § 14 da Reforma da Previdência de Bolsonaro confirmou tudo isso.</w:t>
      </w:r>
    </w:p>
    <w:p w14:paraId="7F78DDF1" w14:textId="3705731A" w:rsidR="00066CDE" w:rsidRDefault="008C59BF" w:rsidP="008C59BF">
      <w:pPr>
        <w:jc w:val="both"/>
      </w:pPr>
      <w:r w:rsidRPr="008C59BF">
        <w:t>Ao analisar os dados do FUNPRESP</w:t>
      </w:r>
      <w:r>
        <w:rPr>
          <w:rStyle w:val="Refdenotaderodap"/>
        </w:rPr>
        <w:footnoteReference w:id="1"/>
      </w:r>
      <w:r w:rsidRPr="008C59BF">
        <w:t xml:space="preserve">, em </w:t>
      </w:r>
      <w:r w:rsidR="00C7139C">
        <w:t>abril de 2026</w:t>
      </w:r>
      <w:r w:rsidRPr="008C59BF">
        <w:t>, o número de participantes atingiu 12</w:t>
      </w:r>
      <w:r w:rsidR="00C7139C">
        <w:t>9</w:t>
      </w:r>
      <w:r w:rsidRPr="008C59BF">
        <w:t>.</w:t>
      </w:r>
      <w:r w:rsidR="00C7139C">
        <w:t>9</w:t>
      </w:r>
      <w:r w:rsidRPr="008C59BF">
        <w:t>00 servidores públicos ativos do Poder Executivo Federal Civil. Apenas 6</w:t>
      </w:r>
      <w:r w:rsidR="00C7139C">
        <w:t>89</w:t>
      </w:r>
      <w:r w:rsidRPr="008C59BF">
        <w:t xml:space="preserve"> servidores (as) estão aposentados. O patrimônio da fundação chegou a aproximadamente </w:t>
      </w:r>
      <w:r w:rsidR="00C7139C">
        <w:t>16,27</w:t>
      </w:r>
      <w:r w:rsidRPr="008C59BF">
        <w:t xml:space="preserve"> bilhões. Desse montante, aproximadamente R$ </w:t>
      </w:r>
      <w:r w:rsidR="00C7139C">
        <w:t>13,93</w:t>
      </w:r>
      <w:r w:rsidRPr="008C59BF">
        <w:t xml:space="preserve"> bilhões, representando </w:t>
      </w:r>
      <w:r w:rsidR="00C7139C">
        <w:t>85,63</w:t>
      </w:r>
      <w:r w:rsidRPr="008C59BF">
        <w:t>%, estão investidos no mercado financeiro</w:t>
      </w:r>
      <w:r>
        <w:t>, principalmente títulos da dívida pública</w:t>
      </w:r>
      <w:r w:rsidRPr="008C59BF">
        <w:t>. Como podemos ver, os benefícios futuros de aposentadorias e pensões dependerão do êxito dos investimentos no mercado financeiro.</w:t>
      </w:r>
    </w:p>
    <w:p w14:paraId="2D42EC95" w14:textId="02CDDC6E" w:rsidR="00D877F4" w:rsidRDefault="00D877F4" w:rsidP="003761B1">
      <w:pPr>
        <w:jc w:val="both"/>
      </w:pPr>
      <w:r w:rsidRPr="00D877F4">
        <w:lastRenderedPageBreak/>
        <w:t xml:space="preserve">Do patrimônio total do FUNPRESP, que é de aproximadamente R$ 16,27 bilhões, cerca de </w:t>
      </w:r>
      <w:r>
        <w:br/>
      </w:r>
      <w:r w:rsidRPr="00D877F4">
        <w:t>R$ 13,86 bilhões estão sob administração própria, enquanto aproximadamente R$ 2,42 bilhões estão sob gestão privada.</w:t>
      </w:r>
      <w:r>
        <w:t xml:space="preserve"> Mas com tendência de crescimento da gestão privada.</w:t>
      </w:r>
    </w:p>
    <w:p w14:paraId="24C9FD76" w14:textId="77777777" w:rsidR="006A61F9" w:rsidRDefault="003761B1" w:rsidP="003761B1">
      <w:pPr>
        <w:jc w:val="both"/>
      </w:pPr>
      <w:r>
        <w:t xml:space="preserve">No boletim de Estatístico de Pessoal - PEL, o número de servidores públicos federais do Poder Executivo em </w:t>
      </w:r>
      <w:r w:rsidR="00780E5C" w:rsidRPr="00C7139C">
        <w:rPr>
          <w:b/>
          <w:bCs/>
          <w:i/>
          <w:iCs/>
          <w:color w:val="0070C0"/>
        </w:rPr>
        <w:t>abril</w:t>
      </w:r>
      <w:r w:rsidRPr="00C7139C">
        <w:rPr>
          <w:b/>
          <w:bCs/>
          <w:i/>
          <w:iCs/>
          <w:color w:val="0070C0"/>
        </w:rPr>
        <w:t xml:space="preserve"> de 202</w:t>
      </w:r>
      <w:r w:rsidR="00780E5C" w:rsidRPr="00C7139C">
        <w:rPr>
          <w:b/>
          <w:bCs/>
          <w:i/>
          <w:iCs/>
          <w:color w:val="0070C0"/>
        </w:rPr>
        <w:t>6</w:t>
      </w:r>
      <w:r w:rsidRPr="00C7139C">
        <w:rPr>
          <w:b/>
          <w:bCs/>
          <w:i/>
          <w:iCs/>
          <w:color w:val="0070C0"/>
        </w:rPr>
        <w:t xml:space="preserve"> é de 1.2</w:t>
      </w:r>
      <w:r w:rsidR="00780E5C" w:rsidRPr="00C7139C">
        <w:rPr>
          <w:b/>
          <w:bCs/>
          <w:i/>
          <w:iCs/>
          <w:color w:val="0070C0"/>
        </w:rPr>
        <w:t>02</w:t>
      </w:r>
      <w:r w:rsidRPr="00C7139C">
        <w:rPr>
          <w:b/>
          <w:bCs/>
          <w:i/>
          <w:iCs/>
          <w:color w:val="0070C0"/>
        </w:rPr>
        <w:t>.</w:t>
      </w:r>
      <w:r w:rsidR="00780E5C" w:rsidRPr="00C7139C">
        <w:rPr>
          <w:b/>
          <w:bCs/>
          <w:i/>
          <w:iCs/>
          <w:color w:val="0070C0"/>
        </w:rPr>
        <w:t>359</w:t>
      </w:r>
      <w:r>
        <w:t xml:space="preserve">, distribuídos nos vínculos a seguir: </w:t>
      </w:r>
      <w:r>
        <w:br/>
      </w:r>
      <w:r w:rsidRPr="003761B1">
        <w:rPr>
          <w:b/>
          <w:bCs/>
          <w:i/>
          <w:iCs/>
        </w:rPr>
        <w:t xml:space="preserve">ativos: </w:t>
      </w:r>
      <w:r w:rsidR="00C7139C">
        <w:rPr>
          <w:b/>
          <w:bCs/>
          <w:i/>
          <w:iCs/>
        </w:rPr>
        <w:t>564.373</w:t>
      </w:r>
      <w:r w:rsidRPr="003761B1">
        <w:rPr>
          <w:b/>
          <w:bCs/>
          <w:i/>
          <w:iCs/>
        </w:rPr>
        <w:t>; aposentados: 4</w:t>
      </w:r>
      <w:r w:rsidR="00C7139C">
        <w:rPr>
          <w:b/>
          <w:bCs/>
          <w:i/>
          <w:iCs/>
        </w:rPr>
        <w:t>09</w:t>
      </w:r>
      <w:r w:rsidRPr="003761B1">
        <w:rPr>
          <w:b/>
          <w:bCs/>
          <w:i/>
          <w:iCs/>
        </w:rPr>
        <w:t>.</w:t>
      </w:r>
      <w:r w:rsidR="00C7139C">
        <w:rPr>
          <w:b/>
          <w:bCs/>
          <w:i/>
          <w:iCs/>
        </w:rPr>
        <w:t>348</w:t>
      </w:r>
      <w:r w:rsidRPr="003761B1">
        <w:rPr>
          <w:b/>
          <w:bCs/>
          <w:i/>
          <w:iCs/>
        </w:rPr>
        <w:t>; pensionistas: 22</w:t>
      </w:r>
      <w:r w:rsidR="00C7139C">
        <w:rPr>
          <w:b/>
          <w:bCs/>
          <w:i/>
          <w:iCs/>
        </w:rPr>
        <w:t>8.638</w:t>
      </w:r>
      <w:r>
        <w:t xml:space="preserve">. </w:t>
      </w:r>
    </w:p>
    <w:p w14:paraId="7EE65C23" w14:textId="62C8675F" w:rsidR="003761B1" w:rsidRDefault="003761B1" w:rsidP="003761B1">
      <w:pPr>
        <w:jc w:val="both"/>
      </w:pPr>
      <w:r>
        <w:t xml:space="preserve">Dos </w:t>
      </w:r>
      <w:r w:rsidR="00C7139C">
        <w:t>564.373</w:t>
      </w:r>
      <w:r>
        <w:t xml:space="preserve"> ativos</w:t>
      </w:r>
      <w:r w:rsidR="006A61F9">
        <w:t xml:space="preserve"> do RJU da lei 8112/1990</w:t>
      </w:r>
      <w:r>
        <w:t xml:space="preserve">, </w:t>
      </w:r>
      <w:r w:rsidR="00C7139C">
        <w:t xml:space="preserve">segundo os números do FUNPRESP, </w:t>
      </w:r>
      <w:r w:rsidR="00C7139C" w:rsidRPr="00C7139C">
        <w:rPr>
          <w:b/>
          <w:bCs/>
          <w:i/>
          <w:iCs/>
        </w:rPr>
        <w:t xml:space="preserve">cerca de </w:t>
      </w:r>
      <w:r w:rsidRPr="00C7139C">
        <w:rPr>
          <w:b/>
          <w:bCs/>
          <w:i/>
          <w:iCs/>
        </w:rPr>
        <w:t>12</w:t>
      </w:r>
      <w:r w:rsidR="00C7139C" w:rsidRPr="00C7139C">
        <w:rPr>
          <w:b/>
          <w:bCs/>
          <w:i/>
          <w:iCs/>
        </w:rPr>
        <w:t>9</w:t>
      </w:r>
      <w:r w:rsidRPr="00C7139C">
        <w:rPr>
          <w:b/>
          <w:bCs/>
          <w:i/>
          <w:iCs/>
        </w:rPr>
        <w:t>.900 estão no sistema de Previdência Complementar</w:t>
      </w:r>
      <w:r>
        <w:t xml:space="preserve">. Essa mudança no regime previdenciário indica que o Regime Próprio de Previdência Social (RPPS) está sendo enfraquecido. </w:t>
      </w:r>
    </w:p>
    <w:p w14:paraId="0EB96377" w14:textId="0840CDA8" w:rsidR="003761B1" w:rsidRDefault="00CB7575" w:rsidP="00CB7575">
      <w:pPr>
        <w:jc w:val="both"/>
      </w:pPr>
      <w:r w:rsidRPr="00CB7575">
        <w:t xml:space="preserve">Os </w:t>
      </w:r>
      <w:r w:rsidRPr="00100394">
        <w:rPr>
          <w:b/>
          <w:bCs/>
          <w:i/>
          <w:iCs/>
        </w:rPr>
        <w:t>parágrafos 1-A, 1-B e 1-C</w:t>
      </w:r>
      <w:r w:rsidRPr="00CB7575">
        <w:t xml:space="preserve"> foram adicionados ao artigo 149 da Constituição Federal pela Reforma Administrativa de Bolsonaro. No parágrafo 1-A, em caso de déficit atuarial, a contribuição regular de aposentados e pensionistas poderá ser aplicada sobre os proventos de aposentadoria e pensões que excedam o salário-mínimo. Se o déficit atuarial persistir, o parágrafo 1-B permite a criação de uma contribuição extraordinária, no contexto da União. Caso o déficit atuarial não seja resolvido, o parágrafo 1-C permite a instituição de uma alíquota extraordinária, concomitantemente com outras ações. Como podemos ver, a Constituição Federal contém um cheque em branco.</w:t>
      </w:r>
    </w:p>
    <w:p w14:paraId="5F3F60A9" w14:textId="31BF03B2" w:rsidR="00CB7575" w:rsidRDefault="001373F0" w:rsidP="001373F0">
      <w:pPr>
        <w:jc w:val="both"/>
      </w:pPr>
      <w:r w:rsidRPr="001373F0">
        <w:t>É possível concluir que as aposentadorias dos servidores públicos federais estão bastante ameaçadas. Quem será responsável por assegurar as aposentadorias do Regime Próprio de Previdência Social do Poder Executivo Federal</w:t>
      </w:r>
      <w:r w:rsidR="009D749B">
        <w:t>, diante dessa fragmentação?</w:t>
      </w:r>
    </w:p>
    <w:p w14:paraId="33D90018" w14:textId="2BC7D9AD" w:rsidR="00334220" w:rsidRDefault="00334220" w:rsidP="001373F0">
      <w:pPr>
        <w:jc w:val="both"/>
      </w:pPr>
      <w:r>
        <w:t>_____________________________________________________________________________</w:t>
      </w:r>
    </w:p>
    <w:p w14:paraId="10F68D89" w14:textId="77777777" w:rsidR="00334220" w:rsidRPr="00334220" w:rsidRDefault="00334220" w:rsidP="00334220">
      <w:pPr>
        <w:jc w:val="both"/>
        <w:rPr>
          <w:b/>
          <w:bCs/>
        </w:rPr>
      </w:pPr>
      <w:r w:rsidRPr="00334220">
        <w:rPr>
          <w:b/>
          <w:bCs/>
        </w:rPr>
        <w:t xml:space="preserve">Você sabe como os servidores (as) públicos são divididos em relação ao </w:t>
      </w:r>
      <w:r w:rsidRPr="00334220">
        <w:rPr>
          <w:b/>
          <w:bCs/>
        </w:rPr>
        <w:br/>
        <w:t>Regime Previdenciário?</w:t>
      </w:r>
    </w:p>
    <w:p w14:paraId="5A880AE5" w14:textId="670FEEF3" w:rsidR="00334220" w:rsidRPr="00334220" w:rsidRDefault="00334220" w:rsidP="00334220">
      <w:pPr>
        <w:jc w:val="both"/>
      </w:pPr>
      <w:r w:rsidRPr="00334220">
        <w:rPr>
          <w:b/>
          <w:bCs/>
        </w:rPr>
        <w:br/>
      </w:r>
      <w:r w:rsidRPr="00334220">
        <w:t xml:space="preserve">No que diz respeito à divisão previdenciária, existem servidores públicos que se aposentam com </w:t>
      </w:r>
      <w:r w:rsidRPr="00334220">
        <w:rPr>
          <w:b/>
          <w:bCs/>
          <w:i/>
          <w:iCs/>
        </w:rPr>
        <w:t>paridade e integralidade</w:t>
      </w:r>
      <w:r w:rsidRPr="00334220">
        <w:t xml:space="preserve">, como os admitidos antes da </w:t>
      </w:r>
      <w:r w:rsidRPr="00334220">
        <w:rPr>
          <w:b/>
          <w:bCs/>
          <w:i/>
          <w:iCs/>
        </w:rPr>
        <w:t>Emenda Constitucional 41/2003</w:t>
      </w:r>
      <w:r w:rsidRPr="00334220">
        <w:t xml:space="preserve">, proposta de Fernando Henrique Cardoso, aprovada durante o governo Lula. Há também aqueles que se </w:t>
      </w:r>
      <w:r w:rsidRPr="00334220">
        <w:rPr>
          <w:b/>
          <w:bCs/>
          <w:i/>
          <w:iCs/>
        </w:rPr>
        <w:t>aposentam com a média aritmética simples das 80 maiores remunerações</w:t>
      </w:r>
      <w:r w:rsidRPr="00334220">
        <w:t xml:space="preserve"> após a aprovação da emenda citada, assim como os que são obrigados a escolher o </w:t>
      </w:r>
      <w:r w:rsidRPr="00334220">
        <w:rPr>
          <w:b/>
          <w:bCs/>
          <w:i/>
          <w:iCs/>
        </w:rPr>
        <w:t>plano de previdência complementar (Funpresp)</w:t>
      </w:r>
      <w:r w:rsidRPr="00334220">
        <w:t xml:space="preserve"> após a promulgação da Lei 12.618/2012. O governo garante ao último um salário até o </w:t>
      </w:r>
      <w:r w:rsidRPr="00334220">
        <w:rPr>
          <w:b/>
          <w:bCs/>
          <w:i/>
          <w:iCs/>
        </w:rPr>
        <w:t>limite do INSS (R$ 8.475,55),</w:t>
      </w:r>
      <w:r w:rsidRPr="00334220">
        <w:t xml:space="preserve"> e a previdência complementar servirá como suplemento para valores superiores a esse montante. Sabe o quanto paga, mas não o quanto vai receber. Tudo dependerá dos investimentos patrimoniais do FUNPRESP executados pelo setor financeiro.</w:t>
      </w:r>
    </w:p>
    <w:p w14:paraId="3016DFC4" w14:textId="77777777" w:rsidR="00334220" w:rsidRPr="00334220" w:rsidRDefault="00334220" w:rsidP="00334220">
      <w:pPr>
        <w:jc w:val="both"/>
      </w:pPr>
      <w:r w:rsidRPr="00334220">
        <w:t xml:space="preserve">O </w:t>
      </w:r>
      <w:r w:rsidRPr="00334220">
        <w:rPr>
          <w:b/>
          <w:bCs/>
          <w:i/>
          <w:iCs/>
        </w:rPr>
        <w:t>parágrafo 14 do Art. 40 da Constituição Federal</w:t>
      </w:r>
      <w:r w:rsidRPr="00334220">
        <w:t xml:space="preserve"> estabelece a criação da Previdência Complementar nos Municípios, Estados, Distrito Federal e União. Uma questão que permanece: quais foram os fundamentos jurídicos que garantiram essa divisão e quais foram os efeitos nas aposentadorias após a aprovação da Emenda Constitucional 103/2019? </w:t>
      </w:r>
    </w:p>
    <w:p w14:paraId="78931D3E" w14:textId="77777777" w:rsidR="00334220" w:rsidRPr="00334220" w:rsidRDefault="00334220" w:rsidP="00334220">
      <w:pPr>
        <w:jc w:val="both"/>
      </w:pPr>
      <w:r w:rsidRPr="00334220">
        <w:t xml:space="preserve">Quais são os principais impactos das mudanças no </w:t>
      </w:r>
      <w:r w:rsidRPr="00334220">
        <w:rPr>
          <w:b/>
          <w:bCs/>
          <w:i/>
          <w:iCs/>
        </w:rPr>
        <w:t>Art. 40 da Constituição Federal</w:t>
      </w:r>
      <w:r w:rsidRPr="00334220">
        <w:t xml:space="preserve">, particularmente no que diz respeito às alterações no </w:t>
      </w:r>
      <w:r w:rsidRPr="00334220">
        <w:rPr>
          <w:b/>
          <w:bCs/>
          <w:i/>
          <w:iCs/>
        </w:rPr>
        <w:t>parágrafo 20</w:t>
      </w:r>
      <w:r w:rsidRPr="00334220">
        <w:t xml:space="preserve">, que demanda a criação de uma empresa </w:t>
      </w:r>
      <w:r w:rsidRPr="00334220">
        <w:rPr>
          <w:b/>
          <w:bCs/>
          <w:i/>
          <w:iCs/>
        </w:rPr>
        <w:t>gestora única para gerir o RPPS</w:t>
      </w:r>
      <w:r w:rsidRPr="00334220">
        <w:t xml:space="preserve">, e </w:t>
      </w:r>
      <w:r w:rsidRPr="00334220">
        <w:rPr>
          <w:b/>
          <w:bCs/>
          <w:i/>
          <w:iCs/>
        </w:rPr>
        <w:t>o parágrafo 22</w:t>
      </w:r>
      <w:r w:rsidRPr="00334220">
        <w:t xml:space="preserve">, que propõe a </w:t>
      </w:r>
      <w:r w:rsidRPr="00334220">
        <w:rPr>
          <w:b/>
          <w:bCs/>
          <w:i/>
          <w:iCs/>
        </w:rPr>
        <w:t>extinção do RPPS e a migração para o RGPS?</w:t>
      </w:r>
    </w:p>
    <w:p w14:paraId="3ED5D8D2" w14:textId="77777777" w:rsidR="00334220" w:rsidRPr="00334220" w:rsidRDefault="00334220" w:rsidP="00334220">
      <w:pPr>
        <w:jc w:val="both"/>
      </w:pPr>
      <w:r w:rsidRPr="00334220">
        <w:lastRenderedPageBreak/>
        <w:t xml:space="preserve">Quais seriam as consequências para 2027 caso o </w:t>
      </w:r>
      <w:r w:rsidRPr="00334220">
        <w:rPr>
          <w:b/>
          <w:bCs/>
          <w:i/>
          <w:iCs/>
        </w:rPr>
        <w:t>decreto 10.620/2021</w:t>
      </w:r>
      <w:r w:rsidRPr="00334220">
        <w:t xml:space="preserve"> não seja revogado pelo governo Lula e o </w:t>
      </w:r>
      <w:r w:rsidRPr="00334220">
        <w:rPr>
          <w:b/>
          <w:bCs/>
          <w:i/>
          <w:iCs/>
        </w:rPr>
        <w:t>Projeto de Lei Complementar PLP 189/2021</w:t>
      </w:r>
      <w:r w:rsidRPr="00334220">
        <w:t xml:space="preserve"> seja aprovado pelo Congresso reacionário, considerando a vitória da extrema-direita nas eleições de 2026? O governo Bolsonaro apresentou ambas as propostas. E como seria o cenário se o campo progressista vencesse? Além de levar em conta as inclusões </w:t>
      </w:r>
      <w:r w:rsidRPr="00334220">
        <w:rPr>
          <w:b/>
          <w:bCs/>
          <w:i/>
          <w:iCs/>
        </w:rPr>
        <w:t xml:space="preserve">dos parágrafos 1-A, 1-B e 1-C do Artigo 149 na Constituição Federal, </w:t>
      </w:r>
      <w:r w:rsidRPr="00334220">
        <w:t>após a Reforma da Previdência do governo Bolsonaro?</w:t>
      </w:r>
    </w:p>
    <w:p w14:paraId="2CEBCF86" w14:textId="77777777" w:rsidR="00334220" w:rsidRPr="00334220" w:rsidRDefault="00334220" w:rsidP="00334220">
      <w:pPr>
        <w:jc w:val="both"/>
      </w:pPr>
      <w:r w:rsidRPr="00334220">
        <w:t xml:space="preserve">A divisão previdenciária do setor público brasileiro consiste em um conjunto variado de regras que se alteram conforme a data de ingresso no serviço público. A </w:t>
      </w:r>
      <w:r w:rsidRPr="00334220">
        <w:rPr>
          <w:b/>
          <w:bCs/>
          <w:i/>
          <w:iCs/>
        </w:rPr>
        <w:t>Emenda Constitucional 103/2019 (Reforma da Previdência)</w:t>
      </w:r>
      <w:r w:rsidRPr="00334220">
        <w:t xml:space="preserve"> agravou essas divisões e implementou mecanismos severos de ajuste fiscal. A seguir, descrevo os cenários e os efeitos das regras citadas:</w:t>
      </w:r>
    </w:p>
    <w:p w14:paraId="6D851C59" w14:textId="77777777" w:rsidR="00334220" w:rsidRPr="00334220" w:rsidRDefault="00E2460C" w:rsidP="00334220">
      <w:pPr>
        <w:jc w:val="both"/>
      </w:pPr>
      <w:r>
        <w:pict w14:anchorId="642642A2">
          <v:rect id="_x0000_i1025" style="width:441.9pt;height:1.2pt" o:hralign="center" o:hrstd="t" o:hr="t" fillcolor="#a0a0a0" stroked="f"/>
        </w:pict>
      </w:r>
    </w:p>
    <w:p w14:paraId="269D65EA" w14:textId="77777777" w:rsidR="00334220" w:rsidRPr="00334220" w:rsidRDefault="00334220" w:rsidP="00334220">
      <w:pPr>
        <w:jc w:val="both"/>
        <w:rPr>
          <w:b/>
          <w:bCs/>
        </w:rPr>
      </w:pPr>
      <w:r w:rsidRPr="00334220">
        <w:rPr>
          <w:b/>
          <w:bCs/>
        </w:rPr>
        <w:t>1. O Mosaico do RPPS: Regras de Ingresso e Cálculo</w:t>
      </w:r>
    </w:p>
    <w:p w14:paraId="7F5B84EA" w14:textId="77777777" w:rsidR="00334220" w:rsidRPr="00334220" w:rsidRDefault="00334220" w:rsidP="00334220">
      <w:pPr>
        <w:jc w:val="both"/>
        <w:rPr>
          <w:b/>
          <w:bCs/>
          <w:i/>
          <w:iCs/>
        </w:rPr>
      </w:pPr>
      <w:r w:rsidRPr="00334220">
        <w:rPr>
          <w:b/>
          <w:bCs/>
          <w:i/>
          <w:iCs/>
        </w:rPr>
        <w:t>A divisão é fruto de uma sucessão de reformas:</w:t>
      </w:r>
    </w:p>
    <w:p w14:paraId="75070D13" w14:textId="77777777" w:rsidR="00334220" w:rsidRPr="00334220" w:rsidRDefault="00334220" w:rsidP="00334220">
      <w:pPr>
        <w:numPr>
          <w:ilvl w:val="0"/>
          <w:numId w:val="1"/>
        </w:numPr>
        <w:jc w:val="both"/>
      </w:pPr>
      <w:r w:rsidRPr="00334220">
        <w:rPr>
          <w:b/>
          <w:bCs/>
        </w:rPr>
        <w:t>Paridade e Integralidade:</w:t>
      </w:r>
      <w:r w:rsidRPr="00334220">
        <w:t xml:space="preserve"> Garantidas para quem ingressou até </w:t>
      </w:r>
      <w:r w:rsidRPr="00334220">
        <w:rPr>
          <w:b/>
          <w:bCs/>
        </w:rPr>
        <w:t>31 de dezembro de 2003</w:t>
      </w:r>
      <w:r w:rsidRPr="00334220">
        <w:t xml:space="preserve"> (</w:t>
      </w:r>
      <w:r w:rsidRPr="00334220">
        <w:rPr>
          <w:b/>
          <w:bCs/>
          <w:i/>
          <w:iCs/>
        </w:rPr>
        <w:t>EC 41/03</w:t>
      </w:r>
      <w:r w:rsidRPr="00334220">
        <w:t xml:space="preserve">). A integralidade é o direito ao último vencimento da ativa, e a paridade é o direito de receber os mesmos reajustes concedidos aos ativos. </w:t>
      </w:r>
    </w:p>
    <w:p w14:paraId="2A8D8CB6" w14:textId="77777777" w:rsidR="00334220" w:rsidRPr="00334220" w:rsidRDefault="00334220" w:rsidP="00334220">
      <w:pPr>
        <w:numPr>
          <w:ilvl w:val="0"/>
          <w:numId w:val="1"/>
        </w:numPr>
        <w:jc w:val="both"/>
      </w:pPr>
      <w:r w:rsidRPr="00334220">
        <w:rPr>
          <w:b/>
          <w:bCs/>
          <w:i/>
          <w:iCs/>
        </w:rPr>
        <w:t>O problema que Reforma da Previdência de Bolsonaro</w:t>
      </w:r>
      <w:r w:rsidRPr="00334220">
        <w:t xml:space="preserve"> alterou o recebimento dos benefícios de aposentadoria criando alíquota progressiva. Significa menos dinheiro no bolso do servidor. No caso dos pensionistas, menos com paridade e integralidade, o benefício pago será 50% do salário do instituidor da pensão + 10% por dependente.</w:t>
      </w:r>
    </w:p>
    <w:p w14:paraId="135BF0DF" w14:textId="77777777" w:rsidR="00334220" w:rsidRPr="00334220" w:rsidRDefault="00334220" w:rsidP="00334220">
      <w:pPr>
        <w:numPr>
          <w:ilvl w:val="0"/>
          <w:numId w:val="1"/>
        </w:numPr>
        <w:jc w:val="both"/>
      </w:pPr>
      <w:r w:rsidRPr="00334220">
        <w:rPr>
          <w:b/>
          <w:bCs/>
        </w:rPr>
        <w:t>Média das Remunerações:</w:t>
      </w:r>
      <w:r w:rsidRPr="00334220">
        <w:t xml:space="preserve"> Para quem foi admitido em 2004</w:t>
      </w:r>
      <w:r w:rsidRPr="00334220">
        <w:rPr>
          <w:b/>
          <w:bCs/>
        </w:rPr>
        <w:t xml:space="preserve"> e a implantação do Regime de Previdência Complementar (RPC)</w:t>
      </w:r>
      <w:r w:rsidRPr="00334220">
        <w:t xml:space="preserve">. Originalmente era a média das 80% maiores remunerações (Lei 10.887/04), mas a EC 103/2019 mudou para </w:t>
      </w:r>
      <w:r w:rsidRPr="00334220">
        <w:rPr>
          <w:b/>
          <w:bCs/>
        </w:rPr>
        <w:t>100% de todas as contribuições previdenciárias da sua vida laboral</w:t>
      </w:r>
      <w:r w:rsidRPr="00334220">
        <w:t>, reduzindo o valor final.</w:t>
      </w:r>
    </w:p>
    <w:p w14:paraId="49344AD1" w14:textId="77777777" w:rsidR="00334220" w:rsidRPr="00334220" w:rsidRDefault="00334220" w:rsidP="00334220">
      <w:pPr>
        <w:numPr>
          <w:ilvl w:val="0"/>
          <w:numId w:val="1"/>
        </w:numPr>
        <w:jc w:val="both"/>
      </w:pPr>
      <w:r w:rsidRPr="00334220">
        <w:rPr>
          <w:b/>
          <w:bCs/>
        </w:rPr>
        <w:t>Previdência Complementar (RPC):</w:t>
      </w:r>
      <w:r w:rsidRPr="00334220">
        <w:t xml:space="preserve"> Para quem ingressou após a criação da respectiva entidade (</w:t>
      </w:r>
      <w:proofErr w:type="spellStart"/>
      <w:r w:rsidRPr="00334220">
        <w:t>ex</w:t>
      </w:r>
      <w:proofErr w:type="spellEnd"/>
      <w:r w:rsidRPr="00334220">
        <w:t xml:space="preserve">: </w:t>
      </w:r>
      <w:proofErr w:type="spellStart"/>
      <w:r w:rsidRPr="00334220">
        <w:t>Funpresp</w:t>
      </w:r>
      <w:proofErr w:type="spellEnd"/>
      <w:r w:rsidRPr="00334220">
        <w:t xml:space="preserve"> na União, em 2013). O benefício pelo RPPS é limitado ao teto do RGPS (INSS), e o restante depende da capitalização individual.</w:t>
      </w:r>
    </w:p>
    <w:p w14:paraId="7627096A" w14:textId="77777777" w:rsidR="00334220" w:rsidRPr="00334220" w:rsidRDefault="00E2460C" w:rsidP="00334220">
      <w:pPr>
        <w:jc w:val="both"/>
      </w:pPr>
      <w:r>
        <w:pict w14:anchorId="2AD728DB">
          <v:rect id="_x0000_i1026" style="width:441.9pt;height:1.2pt" o:hralign="center" o:hrstd="t" o:hr="t" fillcolor="#a0a0a0" stroked="f"/>
        </w:pict>
      </w:r>
    </w:p>
    <w:p w14:paraId="52A13160" w14:textId="77777777" w:rsidR="00334220" w:rsidRPr="00334220" w:rsidRDefault="00334220" w:rsidP="00334220">
      <w:pPr>
        <w:jc w:val="both"/>
        <w:rPr>
          <w:b/>
          <w:bCs/>
        </w:rPr>
      </w:pPr>
      <w:r w:rsidRPr="00334220">
        <w:rPr>
          <w:b/>
          <w:bCs/>
        </w:rPr>
        <w:t>2. Implicações do Art. 40, § 20: Gestão Única</w:t>
      </w:r>
    </w:p>
    <w:p w14:paraId="0CF0121C" w14:textId="77777777" w:rsidR="00334220" w:rsidRPr="00334220" w:rsidRDefault="00334220" w:rsidP="00334220">
      <w:pPr>
        <w:jc w:val="both"/>
      </w:pPr>
      <w:r w:rsidRPr="00334220">
        <w:t xml:space="preserve">A Emenda Constitucional 103/2019 acrescentou o </w:t>
      </w:r>
      <w:r w:rsidRPr="00334220">
        <w:rPr>
          <w:b/>
          <w:bCs/>
          <w:i/>
          <w:iCs/>
        </w:rPr>
        <w:t>§ 20 ao Art. 40</w:t>
      </w:r>
      <w:r w:rsidRPr="00334220">
        <w:t>, estabelecendo a proibição de múltiplos regimes próprios e várias unidades gestoras para cada ente federativo.</w:t>
      </w:r>
    </w:p>
    <w:p w14:paraId="70F374AA" w14:textId="77777777" w:rsidR="00334220" w:rsidRPr="00334220" w:rsidRDefault="00334220" w:rsidP="00334220">
      <w:pPr>
        <w:numPr>
          <w:ilvl w:val="0"/>
          <w:numId w:val="2"/>
        </w:numPr>
        <w:jc w:val="both"/>
      </w:pPr>
      <w:r w:rsidRPr="00334220">
        <w:rPr>
          <w:b/>
          <w:bCs/>
        </w:rPr>
        <w:t>O Objetivo:</w:t>
      </w:r>
      <w:r w:rsidRPr="00334220">
        <w:t xml:space="preserve"> Centralizar a gestão de aposentadorias e pensões (antes dispersas entre Executivo, Legislativo e Judiciário) em um único órgão. Limitando os segurados aos servidores (as) Públicos de provimento efetivo. Os servidores concursados. Os não concursados poderão ser deslocados para gestão no INSS.</w:t>
      </w:r>
    </w:p>
    <w:p w14:paraId="46CF9C50" w14:textId="77777777" w:rsidR="00334220" w:rsidRPr="00334220" w:rsidRDefault="00334220" w:rsidP="00334220">
      <w:pPr>
        <w:numPr>
          <w:ilvl w:val="0"/>
          <w:numId w:val="2"/>
        </w:numPr>
        <w:jc w:val="both"/>
      </w:pPr>
      <w:r w:rsidRPr="00334220">
        <w:rPr>
          <w:b/>
          <w:bCs/>
        </w:rPr>
        <w:t>O Conflito:</w:t>
      </w:r>
      <w:r w:rsidRPr="00334220">
        <w:t xml:space="preserve"> No âmbito federal, isso gerou o </w:t>
      </w:r>
      <w:r w:rsidRPr="00334220">
        <w:rPr>
          <w:b/>
          <w:bCs/>
        </w:rPr>
        <w:t>Decreto 10.620/2021</w:t>
      </w:r>
      <w:r w:rsidRPr="00334220">
        <w:t>, que transferiu a gestão de inativos de autarquias e fundações para o SIPEC (Executivo) e para o INSS. Isso é visto por muitos como um passo para a "</w:t>
      </w:r>
      <w:r w:rsidRPr="00334220">
        <w:rPr>
          <w:b/>
          <w:bCs/>
          <w:i/>
          <w:iCs/>
        </w:rPr>
        <w:t>desidratação</w:t>
      </w:r>
      <w:r w:rsidRPr="00334220">
        <w:t>" das carreiras e perda de autonomia institucional.</w:t>
      </w:r>
    </w:p>
    <w:p w14:paraId="25AC7AF6" w14:textId="77777777" w:rsidR="00334220" w:rsidRPr="00334220" w:rsidRDefault="00E2460C" w:rsidP="00334220">
      <w:pPr>
        <w:jc w:val="both"/>
      </w:pPr>
      <w:r>
        <w:pict w14:anchorId="1B471188">
          <v:rect id="_x0000_i1027" style="width:441.9pt;height:1.2pt" o:hralign="center" o:hrstd="t" o:hr="t" fillcolor="#a0a0a0" stroked="f"/>
        </w:pict>
      </w:r>
    </w:p>
    <w:p w14:paraId="64F5F74C" w14:textId="77777777" w:rsidR="00334220" w:rsidRPr="00334220" w:rsidRDefault="00334220" w:rsidP="00334220">
      <w:pPr>
        <w:jc w:val="both"/>
        <w:rPr>
          <w:b/>
          <w:bCs/>
        </w:rPr>
      </w:pPr>
      <w:r w:rsidRPr="00334220">
        <w:rPr>
          <w:b/>
          <w:bCs/>
        </w:rPr>
        <w:lastRenderedPageBreak/>
        <w:t>3. Cenários para 2027: O Embate Político e o PLP 189/2021</w:t>
      </w:r>
    </w:p>
    <w:p w14:paraId="4B1D06D6" w14:textId="77777777" w:rsidR="00334220" w:rsidRPr="00334220" w:rsidRDefault="00334220" w:rsidP="00334220">
      <w:pPr>
        <w:jc w:val="both"/>
      </w:pPr>
      <w:r w:rsidRPr="00334220">
        <w:t xml:space="preserve">O </w:t>
      </w:r>
      <w:r w:rsidRPr="00334220">
        <w:rPr>
          <w:b/>
          <w:bCs/>
          <w:i/>
          <w:iCs/>
        </w:rPr>
        <w:t>PLP 189/2021</w:t>
      </w:r>
      <w:r w:rsidRPr="00334220">
        <w:t xml:space="preserve"> visa oficializar a criação dessa entidade gestora única.</w:t>
      </w:r>
    </w:p>
    <w:p w14:paraId="339C0C9F" w14:textId="77777777" w:rsidR="00334220" w:rsidRPr="00334220" w:rsidRDefault="00334220" w:rsidP="00334220">
      <w:pPr>
        <w:jc w:val="both"/>
        <w:rPr>
          <w:b/>
          <w:bCs/>
        </w:rPr>
      </w:pPr>
      <w:r w:rsidRPr="00334220">
        <w:rPr>
          <w:b/>
          <w:bCs/>
        </w:rPr>
        <w:t>3.1 Cenário A: Vitória da Direita / Manutenção do Status Quo</w:t>
      </w:r>
    </w:p>
    <w:p w14:paraId="049CF12E" w14:textId="77777777" w:rsidR="00334220" w:rsidRPr="00334220" w:rsidRDefault="00334220" w:rsidP="00334220">
      <w:pPr>
        <w:numPr>
          <w:ilvl w:val="0"/>
          <w:numId w:val="3"/>
        </w:numPr>
        <w:jc w:val="both"/>
      </w:pPr>
      <w:r w:rsidRPr="00334220">
        <w:rPr>
          <w:b/>
          <w:bCs/>
        </w:rPr>
        <w:t>Manutenção do Decreto 10.620 e Aprovação do PLP 189:</w:t>
      </w:r>
      <w:r w:rsidRPr="00334220">
        <w:t xml:space="preserve"> Consolida a centralização. </w:t>
      </w:r>
      <w:r w:rsidRPr="00334220">
        <w:br/>
        <w:t>A tendência é o uso dessa estrutura para facilitar futuras reformas paramétricas (aumentar idade e alíquota). Isso poderá levar a divisão dos servidores (as) em dois grupos: Os concursados, geridos pela empresa única de gestão do RPPS e não concursados sob a gestão do INSS.</w:t>
      </w:r>
    </w:p>
    <w:p w14:paraId="13DD14C8" w14:textId="77777777" w:rsidR="00334220" w:rsidRPr="00334220" w:rsidRDefault="00334220" w:rsidP="00334220">
      <w:pPr>
        <w:numPr>
          <w:ilvl w:val="0"/>
          <w:numId w:val="3"/>
        </w:numPr>
        <w:jc w:val="both"/>
      </w:pPr>
      <w:r w:rsidRPr="00334220">
        <w:rPr>
          <w:b/>
          <w:bCs/>
        </w:rPr>
        <w:t>Impacto:</w:t>
      </w:r>
      <w:r w:rsidRPr="00334220">
        <w:t xml:space="preserve"> Fragilização da identidade das carreiras específicas (como pesquisadores, analistas, técnicos, auditores etc.), cujas aposentadorias passam a ser geridas por um "balcão único" sem especialização nas regras daquela categoria.</w:t>
      </w:r>
    </w:p>
    <w:p w14:paraId="643DBD13" w14:textId="77777777" w:rsidR="00334220" w:rsidRPr="00334220" w:rsidRDefault="00E2460C" w:rsidP="00334220">
      <w:pPr>
        <w:jc w:val="both"/>
      </w:pPr>
      <w:r>
        <w:pict w14:anchorId="10785C2F">
          <v:rect id="_x0000_i1028" style="width:441.9pt;height:1.2pt" o:hralign="center" o:hrstd="t" o:hr="t" fillcolor="#a0a0a0" stroked="f"/>
        </w:pict>
      </w:r>
    </w:p>
    <w:p w14:paraId="2F8B65EF" w14:textId="77777777" w:rsidR="00334220" w:rsidRPr="00334220" w:rsidRDefault="00334220" w:rsidP="00334220">
      <w:pPr>
        <w:jc w:val="both"/>
        <w:rPr>
          <w:b/>
          <w:bCs/>
        </w:rPr>
      </w:pPr>
      <w:r w:rsidRPr="00334220">
        <w:rPr>
          <w:b/>
          <w:bCs/>
        </w:rPr>
        <w:t>3.2 Cenário B: Vitória do Campo Progressista / Revogação do Decreto</w:t>
      </w:r>
    </w:p>
    <w:p w14:paraId="11D2481C" w14:textId="77777777" w:rsidR="00334220" w:rsidRPr="00334220" w:rsidRDefault="00334220" w:rsidP="00334220">
      <w:pPr>
        <w:numPr>
          <w:ilvl w:val="0"/>
          <w:numId w:val="4"/>
        </w:numPr>
        <w:jc w:val="both"/>
      </w:pPr>
      <w:r w:rsidRPr="00334220">
        <w:rPr>
          <w:b/>
          <w:bCs/>
        </w:rPr>
        <w:t>Revogação do Decreto 10.620:</w:t>
      </w:r>
      <w:r w:rsidRPr="00334220">
        <w:t xml:space="preserve"> Retomada da gestão pelos próprios órgãos ou criação de uma unidade gestora que respeite a autonomia dos Poderes, autarquias e fundações (Ministérios, IBGE, Fiocruz, INPI etc.).</w:t>
      </w:r>
    </w:p>
    <w:p w14:paraId="4B251C2F" w14:textId="77777777" w:rsidR="00334220" w:rsidRPr="00334220" w:rsidRDefault="00334220" w:rsidP="00334220">
      <w:pPr>
        <w:numPr>
          <w:ilvl w:val="0"/>
          <w:numId w:val="4"/>
        </w:numPr>
        <w:jc w:val="both"/>
      </w:pPr>
      <w:r w:rsidRPr="00334220">
        <w:rPr>
          <w:b/>
          <w:bCs/>
        </w:rPr>
        <w:t>Impacto:</w:t>
      </w:r>
      <w:r w:rsidRPr="00334220">
        <w:t xml:space="preserve"> Maior segurança jurídica para o servidor e possibilidade de negociação de regras de transição mais humanas. No entanto, a obrigação constitucional da "unidade gestora" continua existindo, exigindo um novo modelo que não seja o INSS.</w:t>
      </w:r>
    </w:p>
    <w:p w14:paraId="69B711E3" w14:textId="77777777" w:rsidR="00334220" w:rsidRPr="00334220" w:rsidRDefault="00E2460C" w:rsidP="00334220">
      <w:pPr>
        <w:jc w:val="both"/>
      </w:pPr>
      <w:r>
        <w:pict w14:anchorId="74753F61">
          <v:rect id="_x0000_i1029" style="width:441.9pt;height:1.2pt" o:hralign="center" o:hrstd="t" o:hr="t" fillcolor="#a0a0a0" stroked="f"/>
        </w:pict>
      </w:r>
    </w:p>
    <w:p w14:paraId="2F361100" w14:textId="77777777" w:rsidR="00334220" w:rsidRPr="00334220" w:rsidRDefault="00334220" w:rsidP="00334220">
      <w:pPr>
        <w:jc w:val="both"/>
        <w:rPr>
          <w:b/>
          <w:bCs/>
        </w:rPr>
      </w:pPr>
      <w:r w:rsidRPr="00334220">
        <w:rPr>
          <w:b/>
          <w:bCs/>
        </w:rPr>
        <w:t>4. Artigo 149, §§ 1-A, 1-B e 1-C: A "Contribuição Extraordinária"</w:t>
      </w:r>
    </w:p>
    <w:p w14:paraId="4836F72E" w14:textId="77777777" w:rsidR="00334220" w:rsidRPr="00334220" w:rsidRDefault="00334220" w:rsidP="00334220">
      <w:pPr>
        <w:jc w:val="both"/>
      </w:pPr>
      <w:r w:rsidRPr="00334220">
        <w:t>Estas são as inserções mais polêmicas da EC 103/2019, pois permitem o aumento da carga tributária e previdenciária sobre aposentados e pensionistas:</w:t>
      </w:r>
    </w:p>
    <w:p w14:paraId="7FB572CE" w14:textId="77777777" w:rsidR="00334220" w:rsidRPr="00334220" w:rsidRDefault="00334220" w:rsidP="00334220">
      <w:pPr>
        <w:numPr>
          <w:ilvl w:val="0"/>
          <w:numId w:val="5"/>
        </w:numPr>
        <w:jc w:val="both"/>
      </w:pPr>
      <w:r w:rsidRPr="00334220">
        <w:rPr>
          <w:b/>
          <w:bCs/>
        </w:rPr>
        <w:t>§ 1-A (Contribuição sobre o que excede o Salário-Mínimo):</w:t>
      </w:r>
      <w:r w:rsidRPr="00334220">
        <w:t xml:space="preserve"> Se houver déficit atuarial, a contribuição dos aposentados pode incidir sobre o valor que </w:t>
      </w:r>
      <w:r w:rsidRPr="00334220">
        <w:rPr>
          <w:b/>
          <w:bCs/>
          <w:i/>
          <w:iCs/>
        </w:rPr>
        <w:t>exceder o salário-mínimo</w:t>
      </w:r>
      <w:r w:rsidRPr="00334220">
        <w:t xml:space="preserve"> (e não apenas o que excede o teto do INSS).</w:t>
      </w:r>
    </w:p>
    <w:p w14:paraId="6F023388" w14:textId="77777777" w:rsidR="00334220" w:rsidRPr="00334220" w:rsidRDefault="00334220" w:rsidP="00334220">
      <w:pPr>
        <w:numPr>
          <w:ilvl w:val="0"/>
          <w:numId w:val="5"/>
        </w:numPr>
        <w:jc w:val="both"/>
      </w:pPr>
      <w:r w:rsidRPr="00334220">
        <w:rPr>
          <w:b/>
          <w:bCs/>
        </w:rPr>
        <w:t>§ 1-B (Contribuição Extraordinária):</w:t>
      </w:r>
      <w:r w:rsidRPr="00334220">
        <w:t xml:space="preserve"> Permite a instituição de uma contribuição adicional por tempo determinado para sanar o déficit.</w:t>
      </w:r>
    </w:p>
    <w:p w14:paraId="427FDB6C" w14:textId="77777777" w:rsidR="00334220" w:rsidRPr="00334220" w:rsidRDefault="00334220" w:rsidP="00334220">
      <w:pPr>
        <w:numPr>
          <w:ilvl w:val="0"/>
          <w:numId w:val="5"/>
        </w:numPr>
        <w:jc w:val="both"/>
      </w:pPr>
      <w:r w:rsidRPr="00334220">
        <w:rPr>
          <w:b/>
          <w:bCs/>
        </w:rPr>
        <w:t>§ 1-C (Cálculo do Déficit):</w:t>
      </w:r>
      <w:r w:rsidRPr="00334220">
        <w:t xml:space="preserve"> Define como esse déficit será apurado para justificar outras medidas, simultaneamente com alíquota extraordinária. Um verdadeiro cheque em branco na Constituição Federal.</w:t>
      </w:r>
    </w:p>
    <w:p w14:paraId="3E11912E" w14:textId="77777777" w:rsidR="00334220" w:rsidRPr="00334220" w:rsidRDefault="00334220" w:rsidP="00334220">
      <w:pPr>
        <w:jc w:val="both"/>
      </w:pPr>
      <w:r w:rsidRPr="00334220">
        <w:rPr>
          <w:b/>
          <w:bCs/>
        </w:rPr>
        <w:t xml:space="preserve">Nota Crítica: </w:t>
      </w:r>
      <w:r w:rsidRPr="00334220">
        <w:t xml:space="preserve">O STF (ADI 6254 e outras) está questionando fortemente essas medidas. </w:t>
      </w:r>
    </w:p>
    <w:p w14:paraId="42FB6E79" w14:textId="77777777" w:rsidR="00334220" w:rsidRPr="00334220" w:rsidRDefault="00334220" w:rsidP="00334220">
      <w:pPr>
        <w:jc w:val="both"/>
      </w:pPr>
      <w:r w:rsidRPr="00334220">
        <w:t>Recentemente, a maioria do tribunal se manifestou contra a cobrança sobre valores que ultrapassam o salário-mínimo, a não ser que o déficit seja insustentável; no entanto, o julgamento passou por reviravoltas e houve pedidos de vista.</w:t>
      </w:r>
    </w:p>
    <w:p w14:paraId="42C9ECDA" w14:textId="77777777" w:rsidR="00334220" w:rsidRPr="00334220" w:rsidRDefault="00334220" w:rsidP="00334220">
      <w:pPr>
        <w:jc w:val="both"/>
        <w:rPr>
          <w:b/>
          <w:bCs/>
        </w:rPr>
      </w:pPr>
      <w:r w:rsidRPr="00334220">
        <w:rPr>
          <w:b/>
          <w:bCs/>
        </w:rPr>
        <w:t>Resumo das Implicações</w:t>
      </w:r>
    </w:p>
    <w:p w14:paraId="57903951" w14:textId="77777777" w:rsidR="00334220" w:rsidRPr="00334220" w:rsidRDefault="00334220" w:rsidP="00334220">
      <w:pPr>
        <w:jc w:val="both"/>
      </w:pPr>
      <w:r w:rsidRPr="00334220">
        <w:t xml:space="preserve">Caso as normas do </w:t>
      </w:r>
      <w:r w:rsidRPr="00334220">
        <w:rPr>
          <w:b/>
          <w:bCs/>
          <w:i/>
          <w:iCs/>
        </w:rPr>
        <w:t>Art. 149 (§§ 1-A, 1-B, 1-C)</w:t>
      </w:r>
      <w:r w:rsidRPr="00334220">
        <w:t xml:space="preserve"> forem totalmente implementadas em 2027, o servidor aposentado e pensionista poderá enfrentar uma diminuição real de proventos por </w:t>
      </w:r>
      <w:r w:rsidRPr="00334220">
        <w:lastRenderedPageBreak/>
        <w:t>meio de impostos e aumento da contribuição previdenciária, o que muitos juristas denominam de "</w:t>
      </w:r>
      <w:r w:rsidRPr="00334220">
        <w:rPr>
          <w:b/>
          <w:bCs/>
          <w:u w:val="single"/>
        </w:rPr>
        <w:t>confisco disfarçado</w:t>
      </w:r>
      <w:r w:rsidRPr="00334220">
        <w:t>". O contexto político determinará se haverá uma busca por equilíbrio fiscal por meio da redução de direitos (</w:t>
      </w:r>
      <w:r w:rsidRPr="00334220">
        <w:rPr>
          <w:b/>
          <w:bCs/>
          <w:i/>
          <w:iCs/>
        </w:rPr>
        <w:t>extrema-direita</w:t>
      </w:r>
      <w:r w:rsidRPr="00334220">
        <w:t>) ou por meio da reavaliação da gestão e proteção social (</w:t>
      </w:r>
      <w:r w:rsidRPr="00334220">
        <w:rPr>
          <w:b/>
          <w:bCs/>
          <w:i/>
          <w:iCs/>
        </w:rPr>
        <w:t>progressistas</w:t>
      </w:r>
      <w:r w:rsidRPr="00334220">
        <w:t>).</w:t>
      </w:r>
    </w:p>
    <w:p w14:paraId="52F3B543" w14:textId="77777777" w:rsidR="00334220" w:rsidRPr="00334220" w:rsidRDefault="00334220" w:rsidP="00334220">
      <w:pPr>
        <w:jc w:val="both"/>
      </w:pPr>
      <w:r w:rsidRPr="00334220">
        <w:t>Apesar de garantir paridade e integralidade, a reforma da previdência de Bolsonaro modificou a forma como os benefícios são recebidos. Quais são os efeitos mais significativos no valor do benefício para aposentados e pensionistas? Mesmo com paridade e integralidade, haverá diminuição nos benefícios?</w:t>
      </w:r>
    </w:p>
    <w:p w14:paraId="6A7DA733" w14:textId="77777777" w:rsidR="00334220" w:rsidRPr="00334220" w:rsidRDefault="00334220" w:rsidP="00334220">
      <w:pPr>
        <w:jc w:val="both"/>
      </w:pPr>
      <w:r w:rsidRPr="00334220">
        <w:t>Essa é uma percepção amarga e correta para muitos: até mesmo aqueles que têm o selo da "</w:t>
      </w:r>
      <w:r w:rsidRPr="00334220">
        <w:rPr>
          <w:b/>
          <w:bCs/>
          <w:i/>
          <w:iCs/>
        </w:rPr>
        <w:t>paridade e integralidade</w:t>
      </w:r>
      <w:r w:rsidRPr="00334220">
        <w:t xml:space="preserve">" experimentaram uma diminuição real no valor líquido depositado em suas contas. A Emenda Constitucional 103 de 2019, que implementou a Reforma da Previdência sob a tutela do governo Bolsonaro, não modificou o direito nominal à integralidade (receber o último salário da ativa) ou à paridade (receber o mesmo reajuste dos ativos). </w:t>
      </w:r>
      <w:r w:rsidRPr="00334220">
        <w:br/>
        <w:t>No entanto, reduziu o recebimento na remuneração liquida dos beneficiários. Aqui estão os três mecanismos principais que causaram essa redução:</w:t>
      </w:r>
    </w:p>
    <w:p w14:paraId="718443E3" w14:textId="77777777" w:rsidR="00334220" w:rsidRPr="00334220" w:rsidRDefault="00334220" w:rsidP="00334220">
      <w:pPr>
        <w:jc w:val="both"/>
        <w:rPr>
          <w:b/>
          <w:bCs/>
        </w:rPr>
      </w:pPr>
      <w:r w:rsidRPr="00334220">
        <w:rPr>
          <w:b/>
          <w:bCs/>
        </w:rPr>
        <w:t>5. Alíquotas Progressivas (O "Efeito Escada")</w:t>
      </w:r>
    </w:p>
    <w:p w14:paraId="7A2D5F09" w14:textId="77777777" w:rsidR="00334220" w:rsidRPr="00334220" w:rsidRDefault="00334220" w:rsidP="00334220">
      <w:pPr>
        <w:jc w:val="both"/>
      </w:pPr>
      <w:r w:rsidRPr="00334220">
        <w:t xml:space="preserve">Antes da reforma, a maioria dos servidores federais pagava uma alíquota fixa de </w:t>
      </w:r>
      <w:r w:rsidRPr="00334220">
        <w:rPr>
          <w:b/>
          <w:bCs/>
        </w:rPr>
        <w:t>11%</w:t>
      </w:r>
      <w:r w:rsidRPr="00334220">
        <w:t xml:space="preserve">. A EC 103 instituiu alíquotas progressivas que podem chegar a </w:t>
      </w:r>
      <w:r w:rsidRPr="00334220">
        <w:rPr>
          <w:b/>
          <w:bCs/>
        </w:rPr>
        <w:t>22%</w:t>
      </w:r>
      <w:r w:rsidRPr="00334220">
        <w:t xml:space="preserve"> em parcelas salariais mais altas.</w:t>
      </w:r>
    </w:p>
    <w:p w14:paraId="39A3DAF9" w14:textId="77777777" w:rsidR="00334220" w:rsidRPr="00334220" w:rsidRDefault="00334220" w:rsidP="00334220">
      <w:pPr>
        <w:numPr>
          <w:ilvl w:val="0"/>
          <w:numId w:val="6"/>
        </w:numPr>
        <w:jc w:val="both"/>
      </w:pPr>
      <w:r w:rsidRPr="00334220">
        <w:rPr>
          <w:b/>
          <w:bCs/>
        </w:rPr>
        <w:t>O Impacto:</w:t>
      </w:r>
      <w:r w:rsidRPr="00334220">
        <w:t xml:space="preserve"> O servidor com paridade continua recebendo o "aumento" dado à ativa, mas uma fatia maior desse aumento (e do salário base) fica retida na fonte para a previdência. Na prática, o </w:t>
      </w:r>
      <w:r w:rsidRPr="00334220">
        <w:rPr>
          <w:b/>
          <w:bCs/>
        </w:rPr>
        <w:t>rendimento líquido diminui</w:t>
      </w:r>
      <w:r w:rsidRPr="00334220">
        <w:t>.</w:t>
      </w:r>
    </w:p>
    <w:p w14:paraId="5E14624A" w14:textId="77777777" w:rsidR="00334220" w:rsidRPr="00334220" w:rsidRDefault="00334220" w:rsidP="00334220">
      <w:pPr>
        <w:numPr>
          <w:ilvl w:val="0"/>
          <w:numId w:val="6"/>
        </w:numPr>
        <w:jc w:val="both"/>
      </w:pPr>
      <w:r w:rsidRPr="00334220">
        <w:rPr>
          <w:b/>
          <w:bCs/>
        </w:rPr>
        <w:t>Base Legal:</w:t>
      </w:r>
      <w:r w:rsidRPr="00334220">
        <w:t xml:space="preserve"> Artigo 11 da EC 103/2019.</w:t>
      </w:r>
    </w:p>
    <w:p w14:paraId="4F0B96EF" w14:textId="77777777" w:rsidR="00334220" w:rsidRPr="00334220" w:rsidRDefault="00E2460C" w:rsidP="00334220">
      <w:pPr>
        <w:jc w:val="both"/>
      </w:pPr>
      <w:r>
        <w:pict w14:anchorId="510D50F1">
          <v:rect id="_x0000_i1030" style="width:441.9pt;height:1.2pt" o:hralign="center" o:hrstd="t" o:hr="t" fillcolor="#a0a0a0" stroked="f"/>
        </w:pict>
      </w:r>
    </w:p>
    <w:p w14:paraId="0AAA37CD" w14:textId="77777777" w:rsidR="00334220" w:rsidRPr="00334220" w:rsidRDefault="00334220" w:rsidP="00334220">
      <w:pPr>
        <w:jc w:val="both"/>
        <w:rPr>
          <w:b/>
          <w:bCs/>
        </w:rPr>
      </w:pPr>
      <w:r w:rsidRPr="00334220">
        <w:rPr>
          <w:b/>
          <w:bCs/>
        </w:rPr>
        <w:t>6. Ampliação da Base de Cálculo (Art. 149, § 1º-A)</w:t>
      </w:r>
    </w:p>
    <w:p w14:paraId="3F2B794E" w14:textId="77777777" w:rsidR="00334220" w:rsidRPr="00334220" w:rsidRDefault="00334220" w:rsidP="00334220">
      <w:pPr>
        <w:jc w:val="both"/>
        <w:rPr>
          <w:b/>
          <w:bCs/>
        </w:rPr>
      </w:pPr>
      <w:r w:rsidRPr="00334220">
        <w:rPr>
          <w:b/>
          <w:bCs/>
        </w:rPr>
        <w:t>Este é o ponto mais agressivo para aposentados e pensionistas.</w:t>
      </w:r>
    </w:p>
    <w:p w14:paraId="01D98A45" w14:textId="77777777" w:rsidR="00334220" w:rsidRPr="00334220" w:rsidRDefault="00334220" w:rsidP="00334220">
      <w:pPr>
        <w:numPr>
          <w:ilvl w:val="0"/>
          <w:numId w:val="7"/>
        </w:numPr>
        <w:jc w:val="both"/>
      </w:pPr>
      <w:r w:rsidRPr="00334220">
        <w:rPr>
          <w:b/>
          <w:bCs/>
        </w:rPr>
        <w:t>Como era:</w:t>
      </w:r>
      <w:r w:rsidRPr="00334220">
        <w:t xml:space="preserve"> O desconto previdenciário só incidia sobre o que </w:t>
      </w:r>
      <w:r w:rsidRPr="00334220">
        <w:rPr>
          <w:b/>
          <w:bCs/>
        </w:rPr>
        <w:t>excedia o teto do INSS</w:t>
      </w:r>
      <w:r w:rsidRPr="00334220">
        <w:t xml:space="preserve"> (atualmente em torno de R$ 8475,55).</w:t>
      </w:r>
    </w:p>
    <w:p w14:paraId="119A1FE2" w14:textId="77777777" w:rsidR="00334220" w:rsidRPr="00334220" w:rsidRDefault="00334220" w:rsidP="00334220">
      <w:pPr>
        <w:numPr>
          <w:ilvl w:val="0"/>
          <w:numId w:val="7"/>
        </w:numPr>
        <w:jc w:val="both"/>
      </w:pPr>
      <w:r w:rsidRPr="00334220">
        <w:rPr>
          <w:b/>
          <w:bCs/>
        </w:rPr>
        <w:t>Como ficou:</w:t>
      </w:r>
      <w:r w:rsidRPr="00334220">
        <w:t xml:space="preserve"> Em caso de déficit atuarial (que a União e quase todos os Estados alegam ter), a contribuição pode incidir sobre o que </w:t>
      </w:r>
      <w:r w:rsidRPr="00334220">
        <w:rPr>
          <w:b/>
          <w:bCs/>
        </w:rPr>
        <w:t>excede o salário-mínimo</w:t>
      </w:r>
      <w:r w:rsidRPr="00334220">
        <w:t>.</w:t>
      </w:r>
    </w:p>
    <w:p w14:paraId="60C5D806" w14:textId="77777777" w:rsidR="00334220" w:rsidRPr="00334220" w:rsidRDefault="00334220" w:rsidP="00334220">
      <w:pPr>
        <w:numPr>
          <w:ilvl w:val="0"/>
          <w:numId w:val="7"/>
        </w:numPr>
        <w:jc w:val="both"/>
      </w:pPr>
      <w:r w:rsidRPr="00334220">
        <w:rPr>
          <w:b/>
          <w:bCs/>
        </w:rPr>
        <w:t>A Redução:</w:t>
      </w:r>
      <w:r w:rsidRPr="00334220">
        <w:t xml:space="preserve"> Servidores que ganham entre o salário-mínimo e o teto do INSS, que antes eram isentos, passaram a ser taxados. Quem já pagava, passou a pagar sobre uma fatia muito maior do salário.</w:t>
      </w:r>
    </w:p>
    <w:p w14:paraId="20FD547E" w14:textId="77777777" w:rsidR="00334220" w:rsidRPr="00334220" w:rsidRDefault="00E2460C" w:rsidP="00334220">
      <w:pPr>
        <w:jc w:val="both"/>
      </w:pPr>
      <w:r>
        <w:pict w14:anchorId="06E70C30">
          <v:rect id="_x0000_i1031" style="width:441.9pt;height:1.2pt" o:hralign="center" o:hrstd="t" o:hr="t" fillcolor="#a0a0a0" stroked="f"/>
        </w:pict>
      </w:r>
    </w:p>
    <w:p w14:paraId="319F3858" w14:textId="77777777" w:rsidR="00334220" w:rsidRPr="00334220" w:rsidRDefault="00334220" w:rsidP="00334220">
      <w:pPr>
        <w:jc w:val="both"/>
        <w:rPr>
          <w:b/>
          <w:bCs/>
        </w:rPr>
      </w:pPr>
      <w:r w:rsidRPr="00334220">
        <w:rPr>
          <w:b/>
          <w:bCs/>
        </w:rPr>
        <w:t>7. O Fim da Integralidade na Pensão por Morte</w:t>
      </w:r>
    </w:p>
    <w:p w14:paraId="44416840" w14:textId="77777777" w:rsidR="00334220" w:rsidRPr="00334220" w:rsidRDefault="00334220" w:rsidP="00334220">
      <w:pPr>
        <w:jc w:val="both"/>
      </w:pPr>
      <w:r w:rsidRPr="00334220">
        <w:t xml:space="preserve">Aqui a redução é drástica. Se um servidor com integralidade e paridade falece, a sua pensão </w:t>
      </w:r>
      <w:r w:rsidRPr="00334220">
        <w:rPr>
          <w:b/>
          <w:bCs/>
        </w:rPr>
        <w:t>não será mais integral</w:t>
      </w:r>
      <w:r w:rsidRPr="00334220">
        <w:t>.</w:t>
      </w:r>
    </w:p>
    <w:p w14:paraId="1C4948C0" w14:textId="77777777" w:rsidR="00334220" w:rsidRPr="00334220" w:rsidRDefault="00334220" w:rsidP="00334220">
      <w:pPr>
        <w:numPr>
          <w:ilvl w:val="0"/>
          <w:numId w:val="8"/>
        </w:numPr>
        <w:jc w:val="both"/>
      </w:pPr>
      <w:r w:rsidRPr="00334220">
        <w:rPr>
          <w:b/>
          <w:bCs/>
        </w:rPr>
        <w:t>Cálculo de Cotas:</w:t>
      </w:r>
      <w:r w:rsidRPr="00334220">
        <w:t xml:space="preserve"> A pensão passou a ser de </w:t>
      </w:r>
      <w:r w:rsidRPr="00334220">
        <w:rPr>
          <w:b/>
          <w:bCs/>
        </w:rPr>
        <w:t>50% do valor da aposentadoria + 10% por dependente</w:t>
      </w:r>
      <w:r w:rsidRPr="00334220">
        <w:t>.</w:t>
      </w:r>
    </w:p>
    <w:p w14:paraId="4278BE00" w14:textId="77777777" w:rsidR="00334220" w:rsidRPr="00334220" w:rsidRDefault="00334220" w:rsidP="00334220">
      <w:pPr>
        <w:numPr>
          <w:ilvl w:val="0"/>
          <w:numId w:val="8"/>
        </w:numPr>
        <w:jc w:val="both"/>
      </w:pPr>
      <w:r w:rsidRPr="00334220">
        <w:rPr>
          <w:b/>
          <w:bCs/>
        </w:rPr>
        <w:lastRenderedPageBreak/>
        <w:t>Exemplo:</w:t>
      </w:r>
      <w:r w:rsidRPr="00334220">
        <w:t xml:space="preserve"> Se o servidor aposentado deixava apenas a viúva(o), a pensão será de apenas </w:t>
      </w:r>
      <w:r w:rsidRPr="00334220">
        <w:rPr>
          <w:b/>
          <w:bCs/>
        </w:rPr>
        <w:t>60%</w:t>
      </w:r>
      <w:r w:rsidRPr="00334220">
        <w:t xml:space="preserve"> do que ele recebia. Mesmo que ele tivesse direito à integralidade em vida, esse direito "morre" com ele, não se transferindo integralmente ao pensionista.</w:t>
      </w:r>
    </w:p>
    <w:p w14:paraId="2D1DCE15" w14:textId="77777777" w:rsidR="00334220" w:rsidRPr="00334220" w:rsidRDefault="00334220" w:rsidP="00334220">
      <w:pPr>
        <w:numPr>
          <w:ilvl w:val="0"/>
          <w:numId w:val="8"/>
        </w:numPr>
        <w:jc w:val="both"/>
      </w:pPr>
      <w:r w:rsidRPr="00334220">
        <w:rPr>
          <w:b/>
          <w:bCs/>
        </w:rPr>
        <w:t>Base Legal:</w:t>
      </w:r>
      <w:r w:rsidRPr="00334220">
        <w:t xml:space="preserve"> Artigo 23 da EC 103/2019.</w:t>
      </w:r>
    </w:p>
    <w:p w14:paraId="6B77CB6D" w14:textId="77777777" w:rsidR="00334220" w:rsidRPr="00334220" w:rsidRDefault="00E2460C" w:rsidP="00334220">
      <w:pPr>
        <w:jc w:val="both"/>
      </w:pPr>
      <w:r>
        <w:pict w14:anchorId="68CB50B9">
          <v:rect id="_x0000_i1032" style="width:441.9pt;height:1.2pt" o:hralign="center" o:hrstd="t" o:hr="t" fillcolor="#a0a0a0" stroked="f"/>
        </w:pict>
      </w:r>
    </w:p>
    <w:p w14:paraId="6DC3FF98" w14:textId="77777777" w:rsidR="00334220" w:rsidRPr="00334220" w:rsidRDefault="00334220" w:rsidP="00334220">
      <w:pPr>
        <w:jc w:val="both"/>
        <w:rPr>
          <w:b/>
          <w:bCs/>
        </w:rPr>
      </w:pPr>
      <w:r w:rsidRPr="00334220">
        <w:rPr>
          <w:b/>
          <w:bCs/>
        </w:rPr>
        <w:t>8. Resumo: Haverá redução nos benefícios?</w:t>
      </w:r>
    </w:p>
    <w:p w14:paraId="133152BF" w14:textId="77777777" w:rsidR="00334220" w:rsidRPr="00334220" w:rsidRDefault="00334220" w:rsidP="00334220">
      <w:pPr>
        <w:jc w:val="both"/>
      </w:pPr>
      <w:r w:rsidRPr="00334220">
        <w:rPr>
          <w:b/>
          <w:bCs/>
        </w:rPr>
        <w:t>Sim, no valor líquido.</w:t>
      </w:r>
      <w:r w:rsidRPr="00334220">
        <w:t xml:space="preserve"> Embora o valor bruto (nominal) acompanhe a ativa pela paridade, o poder de compra e o montante final disponível são reduzidos por:</w:t>
      </w:r>
    </w:p>
    <w:p w14:paraId="66402BD9" w14:textId="77777777" w:rsidR="00334220" w:rsidRPr="00334220" w:rsidRDefault="00334220" w:rsidP="00334220">
      <w:pPr>
        <w:numPr>
          <w:ilvl w:val="0"/>
          <w:numId w:val="9"/>
        </w:numPr>
        <w:jc w:val="both"/>
      </w:pPr>
      <w:r w:rsidRPr="00334220">
        <w:rPr>
          <w:b/>
          <w:bCs/>
        </w:rPr>
        <w:t>Aumento da mordida previdenciária</w:t>
      </w:r>
      <w:r w:rsidRPr="00334220">
        <w:t xml:space="preserve"> (alíquotas maiores).</w:t>
      </w:r>
    </w:p>
    <w:p w14:paraId="46DF0217" w14:textId="77777777" w:rsidR="00334220" w:rsidRPr="00334220" w:rsidRDefault="00334220" w:rsidP="00334220">
      <w:pPr>
        <w:numPr>
          <w:ilvl w:val="0"/>
          <w:numId w:val="9"/>
        </w:numPr>
        <w:jc w:val="both"/>
      </w:pPr>
      <w:r w:rsidRPr="00334220">
        <w:rPr>
          <w:b/>
          <w:bCs/>
        </w:rPr>
        <w:t>Incidência sobre parcelas antes isentas</w:t>
      </w:r>
      <w:r w:rsidRPr="00334220">
        <w:t xml:space="preserve"> (base de cálculo maior).</w:t>
      </w:r>
    </w:p>
    <w:p w14:paraId="74601986" w14:textId="77777777" w:rsidR="00334220" w:rsidRPr="00334220" w:rsidRDefault="00334220" w:rsidP="00334220">
      <w:pPr>
        <w:numPr>
          <w:ilvl w:val="0"/>
          <w:numId w:val="9"/>
        </w:numPr>
        <w:jc w:val="both"/>
      </w:pPr>
      <w:r w:rsidRPr="00334220">
        <w:rPr>
          <w:b/>
          <w:bCs/>
        </w:rPr>
        <w:t>Redução severa nas pensões</w:t>
      </w:r>
      <w:r w:rsidRPr="00334220">
        <w:t xml:space="preserve"> (sistema de cotas).</w:t>
      </w:r>
    </w:p>
    <w:p w14:paraId="25C01C79" w14:textId="77777777" w:rsidR="00334220" w:rsidRPr="00334220" w:rsidRDefault="00334220" w:rsidP="00334220">
      <w:pPr>
        <w:jc w:val="both"/>
      </w:pPr>
      <w:r w:rsidRPr="00334220">
        <w:t>O STF está avaliando diversas ações, incluindo a ADI 6254, que questionam a constitucionalidade dessa "taxação dos inativos" sobre montantes superiores ao salário-mínimo. Até que se chegue a uma decisão definitiva ou a uma nova reforma (como é discutido no campo progressista para revisar elementos da EC 103), a norma vigente é a da redução por meio de impostos e cotas.</w:t>
      </w:r>
    </w:p>
    <w:p w14:paraId="56110BEC" w14:textId="77777777" w:rsidR="00334220" w:rsidRPr="00334220" w:rsidRDefault="00E2460C" w:rsidP="00334220">
      <w:pPr>
        <w:jc w:val="both"/>
      </w:pPr>
      <w:r>
        <w:pict w14:anchorId="5AE4A764">
          <v:rect id="_x0000_i1033" style="width:441.9pt;height:1.2pt" o:hralign="center" o:hrstd="t" o:hr="t" fillcolor="#a0a0a0" stroked="f"/>
        </w:pict>
      </w:r>
    </w:p>
    <w:p w14:paraId="67033EE3" w14:textId="77777777" w:rsidR="00334220" w:rsidRPr="00334220" w:rsidRDefault="00334220" w:rsidP="00334220">
      <w:pPr>
        <w:jc w:val="both"/>
        <w:rPr>
          <w:b/>
          <w:bCs/>
        </w:rPr>
      </w:pPr>
      <w:r w:rsidRPr="00334220">
        <w:rPr>
          <w:b/>
          <w:bCs/>
        </w:rPr>
        <w:t>9. Considerações Finais</w:t>
      </w:r>
    </w:p>
    <w:p w14:paraId="029088B9" w14:textId="77777777" w:rsidR="00334220" w:rsidRPr="00334220" w:rsidRDefault="00334220" w:rsidP="00334220">
      <w:pPr>
        <w:jc w:val="both"/>
      </w:pPr>
      <w:r w:rsidRPr="00334220">
        <w:t xml:space="preserve">Como podemos ver, tanto a divisão administrativa quanto a previdenciária são instrumentos eficazes para realizar ataques diretos aos servidores públicos. Sejam servidores públicos efetivos ou não efetivos. Seja beneficiários com paridade e integralidade, seja pelos benefícios pela média aritmética simples ou pela previdência complementar. </w:t>
      </w:r>
    </w:p>
    <w:p w14:paraId="07169649" w14:textId="7DD9D727" w:rsidR="00334220" w:rsidRPr="00CB7575" w:rsidRDefault="00334220" w:rsidP="00334220">
      <w:pPr>
        <w:jc w:val="both"/>
      </w:pPr>
      <w:r w:rsidRPr="00334220">
        <w:t xml:space="preserve">Esse cenário é preocupante, uma vez que estamos retrocedendo à época da ditadura. Aquele </w:t>
      </w:r>
      <w:r w:rsidRPr="00334220">
        <w:rPr>
          <w:b/>
          <w:bCs/>
          <w:i/>
          <w:iCs/>
        </w:rPr>
        <w:t>estado loteado</w:t>
      </w:r>
      <w:r w:rsidRPr="00334220">
        <w:t xml:space="preserve"> nas décadas de 1960, 1970, 1980 e 1990. Qual será o destino dos servidores públicos e dos serviços públicos? Na execução das políticas públicas, estaremos sob a gestão do setor privado? A maioria dos servidores públicos será transferida para o RGPS? Essas são algumas perguntas que precisamos que os governos respondam, especialmente o Congresso </w:t>
      </w:r>
      <w:proofErr w:type="spellStart"/>
      <w:r w:rsidRPr="00334220">
        <w:t>Nacion</w:t>
      </w:r>
      <w:proofErr w:type="spellEnd"/>
    </w:p>
    <w:sectPr w:rsidR="00334220" w:rsidRPr="00CB757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A35C46" w14:textId="77777777" w:rsidR="00E2460C" w:rsidRDefault="00E2460C" w:rsidP="00066CDE">
      <w:pPr>
        <w:spacing w:after="0" w:line="240" w:lineRule="auto"/>
      </w:pPr>
      <w:r>
        <w:separator/>
      </w:r>
    </w:p>
  </w:endnote>
  <w:endnote w:type="continuationSeparator" w:id="0">
    <w:p w14:paraId="31C07AEA" w14:textId="77777777" w:rsidR="00E2460C" w:rsidRDefault="00E2460C" w:rsidP="00066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309CCC" w14:textId="77777777" w:rsidR="00E2460C" w:rsidRDefault="00E2460C" w:rsidP="00066CDE">
      <w:pPr>
        <w:spacing w:after="0" w:line="240" w:lineRule="auto"/>
      </w:pPr>
      <w:r>
        <w:separator/>
      </w:r>
    </w:p>
  </w:footnote>
  <w:footnote w:type="continuationSeparator" w:id="0">
    <w:p w14:paraId="75423240" w14:textId="77777777" w:rsidR="00E2460C" w:rsidRDefault="00E2460C" w:rsidP="00066CDE">
      <w:pPr>
        <w:spacing w:after="0" w:line="240" w:lineRule="auto"/>
      </w:pPr>
      <w:r>
        <w:continuationSeparator/>
      </w:r>
    </w:p>
  </w:footnote>
  <w:footnote w:id="1">
    <w:p w14:paraId="7E122B8F" w14:textId="614C04B8" w:rsidR="008C59BF" w:rsidRDefault="008C59BF">
      <w:pPr>
        <w:pStyle w:val="Textodenotaderodap"/>
      </w:pPr>
      <w:r>
        <w:rPr>
          <w:rStyle w:val="Refdenotaderodap"/>
        </w:rPr>
        <w:footnoteRef/>
      </w:r>
      <w:r>
        <w:t xml:space="preserve"> </w:t>
      </w:r>
      <w:hyperlink r:id="rId1" w:history="1">
        <w:r w:rsidRPr="00DE63C4">
          <w:rPr>
            <w:rStyle w:val="Hyperlink"/>
          </w:rPr>
          <w:t>https://www.funpresp.com.br/funpresp-em-numeros</w:t>
        </w:r>
      </w:hyperlink>
    </w:p>
    <w:p w14:paraId="7A0A47EA" w14:textId="77777777" w:rsidR="008C59BF" w:rsidRDefault="008C59BF">
      <w:pPr>
        <w:pStyle w:val="Textodenotaderodap"/>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2ACE"/>
    <w:multiLevelType w:val="multilevel"/>
    <w:tmpl w:val="9C0023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1584B30"/>
    <w:multiLevelType w:val="multilevel"/>
    <w:tmpl w:val="4FD4D0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02A40FB6"/>
    <w:multiLevelType w:val="multilevel"/>
    <w:tmpl w:val="B82AA9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0E3252D2"/>
    <w:multiLevelType w:val="multilevel"/>
    <w:tmpl w:val="0532D1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33B1A8D"/>
    <w:multiLevelType w:val="multilevel"/>
    <w:tmpl w:val="91B098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351D5F5E"/>
    <w:multiLevelType w:val="multilevel"/>
    <w:tmpl w:val="A35A57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44762582"/>
    <w:multiLevelType w:val="multilevel"/>
    <w:tmpl w:val="5EFEAC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6A6F7B30"/>
    <w:multiLevelType w:val="multilevel"/>
    <w:tmpl w:val="6F5ECC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7CCC79F2"/>
    <w:multiLevelType w:val="multilevel"/>
    <w:tmpl w:val="341A18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6"/>
  </w:num>
  <w:num w:numId="3">
    <w:abstractNumId w:val="1"/>
  </w:num>
  <w:num w:numId="4">
    <w:abstractNumId w:val="7"/>
  </w:num>
  <w:num w:numId="5">
    <w:abstractNumId w:val="5"/>
  </w:num>
  <w:num w:numId="6">
    <w:abstractNumId w:val="8"/>
  </w:num>
  <w:num w:numId="7">
    <w:abstractNumId w:val="0"/>
  </w:num>
  <w:num w:numId="8">
    <w:abstractNumId w:val="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624"/>
    <w:rsid w:val="00066CDE"/>
    <w:rsid w:val="000C59A1"/>
    <w:rsid w:val="00100394"/>
    <w:rsid w:val="00117F76"/>
    <w:rsid w:val="001373F0"/>
    <w:rsid w:val="00151768"/>
    <w:rsid w:val="00166050"/>
    <w:rsid w:val="001F4F23"/>
    <w:rsid w:val="00231698"/>
    <w:rsid w:val="0031055D"/>
    <w:rsid w:val="00312BDF"/>
    <w:rsid w:val="00334220"/>
    <w:rsid w:val="003346D4"/>
    <w:rsid w:val="00340A10"/>
    <w:rsid w:val="003550CF"/>
    <w:rsid w:val="003761B1"/>
    <w:rsid w:val="00383730"/>
    <w:rsid w:val="003A129A"/>
    <w:rsid w:val="00522912"/>
    <w:rsid w:val="0052440E"/>
    <w:rsid w:val="005C3991"/>
    <w:rsid w:val="005D5FCA"/>
    <w:rsid w:val="006A61F9"/>
    <w:rsid w:val="006C7C65"/>
    <w:rsid w:val="006E46D2"/>
    <w:rsid w:val="007040DA"/>
    <w:rsid w:val="007440F5"/>
    <w:rsid w:val="00780E5C"/>
    <w:rsid w:val="007A2247"/>
    <w:rsid w:val="007C4FC9"/>
    <w:rsid w:val="00840693"/>
    <w:rsid w:val="008831B4"/>
    <w:rsid w:val="008C59BF"/>
    <w:rsid w:val="008E03A4"/>
    <w:rsid w:val="0095131B"/>
    <w:rsid w:val="009629E9"/>
    <w:rsid w:val="009D30D4"/>
    <w:rsid w:val="009D749B"/>
    <w:rsid w:val="00A854B5"/>
    <w:rsid w:val="00B318EA"/>
    <w:rsid w:val="00B52C4A"/>
    <w:rsid w:val="00BE680C"/>
    <w:rsid w:val="00C7139C"/>
    <w:rsid w:val="00CB7575"/>
    <w:rsid w:val="00CB75FB"/>
    <w:rsid w:val="00D877F4"/>
    <w:rsid w:val="00DA2BF1"/>
    <w:rsid w:val="00DB4ACA"/>
    <w:rsid w:val="00DC2624"/>
    <w:rsid w:val="00DD1B24"/>
    <w:rsid w:val="00E2460C"/>
    <w:rsid w:val="00E53EE1"/>
    <w:rsid w:val="00E54E64"/>
    <w:rsid w:val="00E85DBB"/>
    <w:rsid w:val="00ED7083"/>
    <w:rsid w:val="00F208FB"/>
    <w:rsid w:val="00F75D7A"/>
    <w:rsid w:val="00FA1824"/>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51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DC26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C26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C262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C262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C262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C262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C262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C262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C2624"/>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C2624"/>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C2624"/>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C2624"/>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C2624"/>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C2624"/>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C2624"/>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C2624"/>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C2624"/>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C2624"/>
    <w:rPr>
      <w:rFonts w:eastAsiaTheme="majorEastAsia" w:cstheme="majorBidi"/>
      <w:color w:val="272727" w:themeColor="text1" w:themeTint="D8"/>
    </w:rPr>
  </w:style>
  <w:style w:type="paragraph" w:styleId="Ttulo">
    <w:name w:val="Title"/>
    <w:basedOn w:val="Normal"/>
    <w:next w:val="Normal"/>
    <w:link w:val="TtuloChar"/>
    <w:uiPriority w:val="10"/>
    <w:qFormat/>
    <w:rsid w:val="00DC26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C262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C2624"/>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C2624"/>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C2624"/>
    <w:pPr>
      <w:spacing w:before="160"/>
      <w:jc w:val="center"/>
    </w:pPr>
    <w:rPr>
      <w:i/>
      <w:iCs/>
      <w:color w:val="404040" w:themeColor="text1" w:themeTint="BF"/>
    </w:rPr>
  </w:style>
  <w:style w:type="character" w:customStyle="1" w:styleId="CitaoChar">
    <w:name w:val="Citação Char"/>
    <w:basedOn w:val="Fontepargpadro"/>
    <w:link w:val="Citao"/>
    <w:uiPriority w:val="29"/>
    <w:rsid w:val="00DC2624"/>
    <w:rPr>
      <w:i/>
      <w:iCs/>
      <w:color w:val="404040" w:themeColor="text1" w:themeTint="BF"/>
    </w:rPr>
  </w:style>
  <w:style w:type="paragraph" w:styleId="PargrafodaLista">
    <w:name w:val="List Paragraph"/>
    <w:basedOn w:val="Normal"/>
    <w:uiPriority w:val="34"/>
    <w:qFormat/>
    <w:rsid w:val="00DC2624"/>
    <w:pPr>
      <w:ind w:left="720"/>
      <w:contextualSpacing/>
    </w:pPr>
  </w:style>
  <w:style w:type="character" w:styleId="nfaseIntensa">
    <w:name w:val="Intense Emphasis"/>
    <w:basedOn w:val="Fontepargpadro"/>
    <w:uiPriority w:val="21"/>
    <w:qFormat/>
    <w:rsid w:val="00DC2624"/>
    <w:rPr>
      <w:i/>
      <w:iCs/>
      <w:color w:val="2F5496" w:themeColor="accent1" w:themeShade="BF"/>
    </w:rPr>
  </w:style>
  <w:style w:type="paragraph" w:styleId="CitaoIntensa">
    <w:name w:val="Intense Quote"/>
    <w:basedOn w:val="Normal"/>
    <w:next w:val="Normal"/>
    <w:link w:val="CitaoIntensaChar"/>
    <w:uiPriority w:val="30"/>
    <w:qFormat/>
    <w:rsid w:val="00DC26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C2624"/>
    <w:rPr>
      <w:i/>
      <w:iCs/>
      <w:color w:val="2F5496" w:themeColor="accent1" w:themeShade="BF"/>
    </w:rPr>
  </w:style>
  <w:style w:type="character" w:styleId="RefernciaIntensa">
    <w:name w:val="Intense Reference"/>
    <w:basedOn w:val="Fontepargpadro"/>
    <w:uiPriority w:val="32"/>
    <w:qFormat/>
    <w:rsid w:val="00DC2624"/>
    <w:rPr>
      <w:b/>
      <w:bCs/>
      <w:smallCaps/>
      <w:color w:val="2F5496" w:themeColor="accent1" w:themeShade="BF"/>
      <w:spacing w:val="5"/>
    </w:rPr>
  </w:style>
  <w:style w:type="character" w:styleId="Hyperlink">
    <w:name w:val="Hyperlink"/>
    <w:basedOn w:val="Fontepargpadro"/>
    <w:uiPriority w:val="99"/>
    <w:unhideWhenUsed/>
    <w:rsid w:val="007A2247"/>
    <w:rPr>
      <w:color w:val="0563C1" w:themeColor="hyperlink"/>
      <w:u w:val="single"/>
    </w:rPr>
  </w:style>
  <w:style w:type="character" w:customStyle="1" w:styleId="UnresolvedMention">
    <w:name w:val="Unresolved Mention"/>
    <w:basedOn w:val="Fontepargpadro"/>
    <w:uiPriority w:val="99"/>
    <w:semiHidden/>
    <w:unhideWhenUsed/>
    <w:rsid w:val="007A2247"/>
    <w:rPr>
      <w:color w:val="605E5C"/>
      <w:shd w:val="clear" w:color="auto" w:fill="E1DFDD"/>
    </w:rPr>
  </w:style>
  <w:style w:type="paragraph" w:styleId="Textodenotaderodap">
    <w:name w:val="footnote text"/>
    <w:basedOn w:val="Normal"/>
    <w:link w:val="TextodenotaderodapChar"/>
    <w:uiPriority w:val="99"/>
    <w:semiHidden/>
    <w:unhideWhenUsed/>
    <w:rsid w:val="00066CD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66CDE"/>
    <w:rPr>
      <w:sz w:val="20"/>
      <w:szCs w:val="20"/>
    </w:rPr>
  </w:style>
  <w:style w:type="character" w:styleId="Refdenotaderodap">
    <w:name w:val="footnote reference"/>
    <w:basedOn w:val="Fontepargpadro"/>
    <w:uiPriority w:val="99"/>
    <w:semiHidden/>
    <w:unhideWhenUsed/>
    <w:rsid w:val="00066CD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DC26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C26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C262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C262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C262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C262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C262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C262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C2624"/>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C2624"/>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C2624"/>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C2624"/>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C2624"/>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C2624"/>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C2624"/>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C2624"/>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C2624"/>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C2624"/>
    <w:rPr>
      <w:rFonts w:eastAsiaTheme="majorEastAsia" w:cstheme="majorBidi"/>
      <w:color w:val="272727" w:themeColor="text1" w:themeTint="D8"/>
    </w:rPr>
  </w:style>
  <w:style w:type="paragraph" w:styleId="Ttulo">
    <w:name w:val="Title"/>
    <w:basedOn w:val="Normal"/>
    <w:next w:val="Normal"/>
    <w:link w:val="TtuloChar"/>
    <w:uiPriority w:val="10"/>
    <w:qFormat/>
    <w:rsid w:val="00DC26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C262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C2624"/>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C2624"/>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C2624"/>
    <w:pPr>
      <w:spacing w:before="160"/>
      <w:jc w:val="center"/>
    </w:pPr>
    <w:rPr>
      <w:i/>
      <w:iCs/>
      <w:color w:val="404040" w:themeColor="text1" w:themeTint="BF"/>
    </w:rPr>
  </w:style>
  <w:style w:type="character" w:customStyle="1" w:styleId="CitaoChar">
    <w:name w:val="Citação Char"/>
    <w:basedOn w:val="Fontepargpadro"/>
    <w:link w:val="Citao"/>
    <w:uiPriority w:val="29"/>
    <w:rsid w:val="00DC2624"/>
    <w:rPr>
      <w:i/>
      <w:iCs/>
      <w:color w:val="404040" w:themeColor="text1" w:themeTint="BF"/>
    </w:rPr>
  </w:style>
  <w:style w:type="paragraph" w:styleId="PargrafodaLista">
    <w:name w:val="List Paragraph"/>
    <w:basedOn w:val="Normal"/>
    <w:uiPriority w:val="34"/>
    <w:qFormat/>
    <w:rsid w:val="00DC2624"/>
    <w:pPr>
      <w:ind w:left="720"/>
      <w:contextualSpacing/>
    </w:pPr>
  </w:style>
  <w:style w:type="character" w:styleId="nfaseIntensa">
    <w:name w:val="Intense Emphasis"/>
    <w:basedOn w:val="Fontepargpadro"/>
    <w:uiPriority w:val="21"/>
    <w:qFormat/>
    <w:rsid w:val="00DC2624"/>
    <w:rPr>
      <w:i/>
      <w:iCs/>
      <w:color w:val="2F5496" w:themeColor="accent1" w:themeShade="BF"/>
    </w:rPr>
  </w:style>
  <w:style w:type="paragraph" w:styleId="CitaoIntensa">
    <w:name w:val="Intense Quote"/>
    <w:basedOn w:val="Normal"/>
    <w:next w:val="Normal"/>
    <w:link w:val="CitaoIntensaChar"/>
    <w:uiPriority w:val="30"/>
    <w:qFormat/>
    <w:rsid w:val="00DC26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C2624"/>
    <w:rPr>
      <w:i/>
      <w:iCs/>
      <w:color w:val="2F5496" w:themeColor="accent1" w:themeShade="BF"/>
    </w:rPr>
  </w:style>
  <w:style w:type="character" w:styleId="RefernciaIntensa">
    <w:name w:val="Intense Reference"/>
    <w:basedOn w:val="Fontepargpadro"/>
    <w:uiPriority w:val="32"/>
    <w:qFormat/>
    <w:rsid w:val="00DC2624"/>
    <w:rPr>
      <w:b/>
      <w:bCs/>
      <w:smallCaps/>
      <w:color w:val="2F5496" w:themeColor="accent1" w:themeShade="BF"/>
      <w:spacing w:val="5"/>
    </w:rPr>
  </w:style>
  <w:style w:type="character" w:styleId="Hyperlink">
    <w:name w:val="Hyperlink"/>
    <w:basedOn w:val="Fontepargpadro"/>
    <w:uiPriority w:val="99"/>
    <w:unhideWhenUsed/>
    <w:rsid w:val="007A2247"/>
    <w:rPr>
      <w:color w:val="0563C1" w:themeColor="hyperlink"/>
      <w:u w:val="single"/>
    </w:rPr>
  </w:style>
  <w:style w:type="character" w:customStyle="1" w:styleId="UnresolvedMention">
    <w:name w:val="Unresolved Mention"/>
    <w:basedOn w:val="Fontepargpadro"/>
    <w:uiPriority w:val="99"/>
    <w:semiHidden/>
    <w:unhideWhenUsed/>
    <w:rsid w:val="007A2247"/>
    <w:rPr>
      <w:color w:val="605E5C"/>
      <w:shd w:val="clear" w:color="auto" w:fill="E1DFDD"/>
    </w:rPr>
  </w:style>
  <w:style w:type="paragraph" w:styleId="Textodenotaderodap">
    <w:name w:val="footnote text"/>
    <w:basedOn w:val="Normal"/>
    <w:link w:val="TextodenotaderodapChar"/>
    <w:uiPriority w:val="99"/>
    <w:semiHidden/>
    <w:unhideWhenUsed/>
    <w:rsid w:val="00066CD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66CDE"/>
    <w:rPr>
      <w:sz w:val="20"/>
      <w:szCs w:val="20"/>
    </w:rPr>
  </w:style>
  <w:style w:type="character" w:styleId="Refdenotaderodap">
    <w:name w:val="footnote reference"/>
    <w:basedOn w:val="Fontepargpadro"/>
    <w:uiPriority w:val="99"/>
    <w:semiHidden/>
    <w:unhideWhenUsed/>
    <w:rsid w:val="00066C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unpresp.com.br/funpresp-em-numeros"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547A6-6921-4173-B364-7C9CD554E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3027</Words>
  <Characters>16347</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Paulo Lindesay</dc:creator>
  <cp:lastModifiedBy>Uenf</cp:lastModifiedBy>
  <cp:revision>2</cp:revision>
  <dcterms:created xsi:type="dcterms:W3CDTF">2026-06-12T18:23:00Z</dcterms:created>
  <dcterms:modified xsi:type="dcterms:W3CDTF">2026-06-12T18:23:00Z</dcterms:modified>
</cp:coreProperties>
</file>