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Análise do novo licenciamento ambiental do Estado do Rio de Janeiro</w:t>
      </w:r>
    </w:p>
    <w:p>
      <w:pPr>
        <w:spacing w:after="60"/>
        <w:jc w:val="left"/>
      </w:pPr>
      <w:r>
        <w:rPr>
          <w:b/>
          <w:sz w:val="26"/>
        </w:rPr>
        <w:t>Decreto nº 50.473 de 15 de setembro de 2026</w:t>
      </w:r>
    </w:p>
    <w:p>
      <w:pPr>
        <w:pStyle w:val="Subtitle"/>
      </w:pPr>
      <w:r>
        <w:t>Grandes complexos portuários participação pública e riscos de fragmentação</w:t>
      </w:r>
    </w:p>
    <w:p>
      <w:pPr>
        <w:pStyle w:val="Documentofonte"/>
      </w:pPr>
      <w:r>
        <w:t>Documento elaborado a partir do texto integral publicado no Diário Oficial do Estado do Rio de Janeiro em 16 de setembro de 2026.</w:t>
      </w:r>
    </w:p>
    <w:p>
      <w:pPr>
        <w:pStyle w:val="Heading1"/>
      </w:pPr>
      <w:r>
        <w:t>Síntese da conclusão</w:t>
      </w:r>
    </w:p>
    <w:p>
      <w:r>
        <w:t>O Decreto nº 50.473/2026 reorganiza o Sistema Estadual de Licenciamento e demais Procedimentos de Controle Ambiental e combina salvaguardas relevantes com instrumentos que ampliam a discricionariedade administrativa. A norma mantém o EIA/Rima, a audiência pública e a consulta livre, prévia e informada às comunidades tradicionais, mas permite licenças integradas, tramitação prioritária de empreendimentos estratégicos, dispensa fundamentada de EIA/Rima e avaliação separada de atividades inseridas em um mesmo complexo. Em territórios ocupados por grandes sistemas portuários e industriais, como o Porto do Açu, o ponto decisivo será impedir que a soma dos impactos seja diluída em sucessivos processos de licenciamento.</w:t>
      </w:r>
    </w:p>
    <w:p>
      <w:pPr>
        <w:pStyle w:val="Heading1"/>
      </w:pPr>
      <w:r>
        <w:t>O enquadramento dos grandes empreendimentos portuários</w:t>
      </w:r>
    </w:p>
    <w:p>
      <w:r>
        <w:t>Portos e terminais marítimos ou fluviais permanecem sujeitos ao licenciamento ambiental. A CECA conserva competência para conceder e renovar licenças de portos e terminais de minério, petróleo e produtos químicos, além de oleodutos, gasodutos, minerodutos, emissários submarinos e determinados complexos industriais. Entretanto, novas atividades ou alterações nesses empreendimentos passam à competência do Conselho Diretor do Inea quando forem classificadas abaixo dos níveis alto ou significativo.</w:t>
      </w:r>
    </w:p>
    <w:p>
      <w:r>
        <w:t>Essa distinção pode produzir efeitos relevantes no Porto do Açu. O complexo reúne empreendimentos formalmente distintos, mas territorial e funcionalmente associados. Terminais, dragagens, gasodutos, termelétricas, unidades siderúrgicas, projetos de produção de combustíveis, rodovias e sistemas de captação ou lançamento compartilham o mesmo território, os mesmos recursos ambientais e, em muitos casos, as mesmas populações atingidas. A análise isolada de cada expansão pode reduzir artificialmente a percepção da transformação ambiental provocada pelo conjunto.</w:t>
      </w:r>
    </w:p>
    <w:p>
      <w:pPr>
        <w:pStyle w:val="Heading1"/>
      </w:pPr>
      <w:r>
        <w:t>O risco de fragmentação analítica</w:t>
      </w:r>
    </w:p>
    <w:p>
      <w:r>
        <w:t>O artigo 66 estabelece que a localização de uma atividade dentro de um complexo já submetido a EIA/Rima não obriga, por si só, a nova atividade a apresentar o mesmo estudo. A norma determina que os efeitos sinérgicos sejam considerados, mas permite que uma atividade auxiliar, acessória ou integrante do complexo seja avaliada segundo suas características próprias quando não se reconhecer qualquer sinergia. Como o decreto não fixa metodologia obrigatória para identificar esses efeitos, a qualidade da decisão dependerá da delimitação da área de influência, da escala temporal escolhida e da disposição do Inea para examinar o complexo como sistema territorial.</w:t>
      </w:r>
    </w:p>
    <w:p>
      <w:r>
        <w:t>O artigo 67 oferece uma alternativa útil ao permitir estudo ambiental conjunto e até Licença Prévia única para atividades situadas na mesma área. Também admite o aproveitamento de diagnósticos, modelagens, monitoramentos e séries históricas. O problema é que a avaliação conjunta aparece como possibilidade, e não como obrigação. Para grandes complexos portuários, industriais e energéticos, a existência de áreas de influência sobrepostas e de infraestrutura compartilhada deveria acionar automaticamente uma avaliação cumulativa, sinérgica e integrada.</w:t>
      </w:r>
    </w:p>
    <w:p>
      <w:pPr>
        <w:pStyle w:val="Heading1"/>
      </w:pPr>
      <w:r>
        <w:t>Licenças integradas e empreendimentos estratégicos</w:t>
      </w:r>
    </w:p>
    <w:p>
      <w:r>
        <w:t>A Licença Ambiental Integrada pode reunir, em uma única fase, a análise de viabilidade e localização com a autorização para instalar, inclusive para empreendimentos classificados como de impacto significativo. A licença ainda poderá permitir pré-operação por até seis meses, prorrogável uma vez. Essa concentração reduz a separação entre o momento em que se decide se o projeto é ambientalmente viável e aquele em que se autoriza sua implantação. Em projetos complexos, essa separação é importante porque preserva espaço institucional para comparar alternativas antes que investimentos e obras criem fatos consumados.</w:t>
      </w:r>
    </w:p>
    <w:p>
      <w:r>
        <w:t>A Licença Ambiental Especial se aplica aos projetos qualificados como estratégicos pelo governador, com base em parâmetros que incluem geração de empregos, arrecadação tributária, fomento econômico e infraestrutura. Embora o decreto afirme que a prioridade não reduzirá estudos, condicionantes ou participação pública, os benefícios econômicos utilizados para justificar a classificação costumam ser apresentados pelo próprio empreendedor. A análise ambiental não pode começar subordinada à conclusão política de que o projeto já é estratégico e desejável.</w:t>
      </w:r>
    </w:p>
    <w:p>
      <w:pPr>
        <w:pStyle w:val="Heading1"/>
      </w:pPr>
      <w:r>
        <w:t>Dispensa de estudos e dragagens portuárias</w:t>
      </w:r>
    </w:p>
    <w:p>
      <w:r>
        <w:t>A CECA poderá dispensar EIA/Rima de atividade presumidamente capaz de causar significativa degradação quando verificar a inequívoca ausência desse potencial, consideradas natureza, porte, localização e tecnologia. A exigência de decisão fundamentada é necessária, mas não elimina o risco de subestimação quando o empreendimento for analisado como unidade isolada. A demonstração de ausência de impacto significativo deveria incorporar os efeitos cumulativos do complexo e não apenas os impactos incrementais do novo projeto.</w:t>
      </w:r>
    </w:p>
    <w:p>
      <w:r>
        <w:t>O decreto também dispensa do licenciamento as dragagens de manutenção em canais e bacias de evolução previamente licenciados, desde que não aumentem a profundidade e a largura existentes e sejam precedidas de levantamento batimétrico. Essa dispensa não deve ser interpretada como ausência de impacto. A mobilização, o transporte e a disposição de sedimentos podem afetar a qualidade da água e ecossistemas costeiros, especialmente quando houver contaminação acumulada. O controle precisa alcançar a qualidade e o destino do material dragado, e não somente a geometria do canal.</w:t>
      </w:r>
    </w:p>
    <w:p>
      <w:pPr>
        <w:pStyle w:val="Heading1"/>
      </w:pPr>
      <w:r>
        <w:t>Participação popular prevista e participação efetiva</w:t>
      </w:r>
    </w:p>
    <w:p>
      <w:r>
        <w:t>O decreto reconhece consulta pública, tomada de subsídios técnicos, reunião participativa e audiência pública. Nos processos sujeitos a EIA/Rima, inclusive na Licença Ambiental Especial, deverá ocorrer ao menos uma audiência, com disponibilização prévia dos estudos por 45 dias. Também permanece obrigatória, quando cabível, a consulta livre, prévia e informada prevista na Convenção nº 169 da OIT.</w:t>
      </w:r>
    </w:p>
    <w:p>
      <w:r>
        <w:t>As limitações estão na efetividade desses instrumentos. Uma única audiência pode ser insuficiente para empreendimentos com extensa área de influência, múltiplos municípios e diferentes grupos atingidos. Nos casos baseados em Relatório Ambiental Simplificado, a reunião técnica é facultativa. A consulta pública e a divulgação dirigida aos diretamente afetados também dependem de decisão da autoridade licenciadora. Além disso, o decreto manda considerar e anexar as contribuições ao processo, mas não exige uma matriz pública de respostas que informe o que foi acolhido, rejeitado ou incorporado às condicionantes.</w:t>
      </w:r>
    </w:p>
    <w:p>
      <w:r>
        <w:t>No Porto do Açu, a participação deveria começar na elaboração do termo de referência e prosseguir durante a instalação, operação, renovação e expansão. Pescadores artesanais, agricultores, moradores e comunidades tradicionais não podem ser convocados apenas quando o estudo está pronto e as alternativas fundamentais já foram descartadas. Participação posterior à definição do projeto tende a legitimar decisões, e não a modificá-las.</w:t>
      </w:r>
    </w:p>
    <w:p>
      <w:pPr>
        <w:pStyle w:val="Heading1"/>
      </w:pPr>
      <w:r>
        <w:t>Quadro dos principais pontos críticos</w:t>
      </w:r>
    </w:p>
    <w:tbl>
      <w:tblPr>
        <w:tblStyle w:val="TableGrid"/>
        <w:tblW w:type="auto" w:w="0"/>
        <w:tblLayout w:type="fixed"/>
        <w:tblLook w:firstColumn="1" w:firstRow="1" w:lastColumn="0" w:lastRow="0" w:noHBand="0" w:noVBand="1" w:val="04A0"/>
      </w:tblPr>
      <w:tblGrid>
        <w:gridCol w:w="3264"/>
        <w:gridCol w:w="3264"/>
        <w:gridCol w:w="3264"/>
      </w:tblGrid>
      <w:tr>
        <w:trPr>
          <w:tblHeader w:val="true"/>
        </w:trPr>
        <w:tc>
          <w:tcPr>
            <w:tcW w:type="dxa" w:w="1944"/>
            <w:shd w:fill="274C77"/>
            <w:tcMar>
              <w:top w:w="100" w:type="dxa"/>
              <w:start w:w="110" w:type="dxa"/>
              <w:bottom w:w="100" w:type="dxa"/>
              <w:end w:w="110" w:type="dxa"/>
            </w:tcMar>
          </w:tcPr>
          <w:p>
            <w:pPr>
              <w:jc w:val="center"/>
            </w:pPr>
            <w:r>
              <w:rPr>
                <w:b/>
                <w:color w:val="FFFFFF"/>
                <w:sz w:val="18"/>
              </w:rPr>
              <w:t>Tema</w:t>
            </w:r>
          </w:p>
        </w:tc>
        <w:tc>
          <w:tcPr>
            <w:tcW w:type="dxa" w:w="3672"/>
            <w:shd w:fill="274C77"/>
            <w:tcMar>
              <w:top w:w="100" w:type="dxa"/>
              <w:start w:w="110" w:type="dxa"/>
              <w:bottom w:w="100" w:type="dxa"/>
              <w:end w:w="110" w:type="dxa"/>
            </w:tcMar>
          </w:tcPr>
          <w:p>
            <w:pPr>
              <w:jc w:val="center"/>
            </w:pPr>
            <w:r>
              <w:rPr>
                <w:b/>
                <w:color w:val="FFFFFF"/>
                <w:sz w:val="18"/>
              </w:rPr>
              <w:t>Questão central</w:t>
            </w:r>
          </w:p>
        </w:tc>
        <w:tc>
          <w:tcPr>
            <w:tcW w:type="dxa" w:w="4176"/>
            <w:shd w:fill="274C77"/>
            <w:tcMar>
              <w:top w:w="100" w:type="dxa"/>
              <w:start w:w="110" w:type="dxa"/>
              <w:bottom w:w="100" w:type="dxa"/>
              <w:end w:w="110" w:type="dxa"/>
            </w:tcMar>
          </w:tcPr>
          <w:p>
            <w:pPr>
              <w:jc w:val="center"/>
            </w:pPr>
            <w:r>
              <w:rPr>
                <w:b/>
                <w:color w:val="FFFFFF"/>
                <w:sz w:val="18"/>
              </w:rPr>
              <w:t>Diretriz necessária</w:t>
            </w:r>
          </w:p>
        </w:tc>
      </w:tr>
      <w:tr>
        <w:tc>
          <w:tcPr>
            <w:tcW w:type="dxa" w:w="1944"/>
            <w:tcMar>
              <w:top w:w="70" w:type="dxa"/>
              <w:start w:w="95" w:type="dxa"/>
              <w:bottom w:w="70" w:type="dxa"/>
              <w:end w:w="95" w:type="dxa"/>
            </w:tcMar>
          </w:tcPr>
          <w:p>
            <w:pPr>
              <w:jc w:val="left"/>
            </w:pPr>
            <w:r>
              <w:rPr>
                <w:b/>
                <w:sz w:val="16"/>
              </w:rPr>
              <w:t>Avaliação do complexo</w:t>
            </w:r>
          </w:p>
        </w:tc>
        <w:tc>
          <w:tcPr>
            <w:tcW w:type="dxa" w:w="3672"/>
            <w:tcMar>
              <w:top w:w="70" w:type="dxa"/>
              <w:start w:w="95" w:type="dxa"/>
              <w:bottom w:w="70" w:type="dxa"/>
              <w:end w:w="95" w:type="dxa"/>
            </w:tcMar>
          </w:tcPr>
          <w:p>
            <w:pPr>
              <w:jc w:val="left"/>
            </w:pPr>
            <w:r>
              <w:rPr>
                <w:sz w:val="16"/>
              </w:rPr>
              <w:t>O estudo conjunto é facultativo</w:t>
            </w:r>
          </w:p>
        </w:tc>
        <w:tc>
          <w:tcPr>
            <w:tcW w:type="dxa" w:w="4176"/>
            <w:tcMar>
              <w:top w:w="70" w:type="dxa"/>
              <w:start w:w="95" w:type="dxa"/>
              <w:bottom w:w="70" w:type="dxa"/>
              <w:end w:w="95" w:type="dxa"/>
            </w:tcMar>
          </w:tcPr>
          <w:p>
            <w:pPr>
              <w:jc w:val="left"/>
            </w:pPr>
            <w:r>
              <w:rPr>
                <w:sz w:val="16"/>
              </w:rPr>
              <w:t>Exigir avaliação cumulativa e sinérgica quando houver áreas de influência ou infraestrutura compartilhadas</w:t>
            </w:r>
          </w:p>
        </w:tc>
      </w:tr>
      <w:tr>
        <w:tc>
          <w:tcPr>
            <w:tcW w:type="dxa" w:w="1944"/>
            <w:tcMar>
              <w:top w:w="70" w:type="dxa"/>
              <w:start w:w="95" w:type="dxa"/>
              <w:bottom w:w="70" w:type="dxa"/>
              <w:end w:w="95" w:type="dxa"/>
            </w:tcMar>
            <w:shd w:fill="EEF3F7"/>
          </w:tcPr>
          <w:p>
            <w:pPr>
              <w:jc w:val="left"/>
            </w:pPr>
            <w:r>
              <w:rPr>
                <w:b/>
                <w:sz w:val="16"/>
              </w:rPr>
              <w:t>Novas atividades</w:t>
            </w:r>
          </w:p>
        </w:tc>
        <w:tc>
          <w:tcPr>
            <w:tcW w:type="dxa" w:w="3672"/>
            <w:tcMar>
              <w:top w:w="70" w:type="dxa"/>
              <w:start w:w="95" w:type="dxa"/>
              <w:bottom w:w="70" w:type="dxa"/>
              <w:end w:w="95" w:type="dxa"/>
            </w:tcMar>
            <w:shd w:fill="EEF3F7"/>
          </w:tcPr>
          <w:p>
            <w:pPr>
              <w:jc w:val="left"/>
            </w:pPr>
            <w:r>
              <w:rPr>
                <w:sz w:val="16"/>
              </w:rPr>
              <w:t>Alterações abaixo de alto ou significativo impacto podem deixar a CECA</w:t>
            </w:r>
          </w:p>
        </w:tc>
        <w:tc>
          <w:tcPr>
            <w:tcW w:type="dxa" w:w="4176"/>
            <w:tcMar>
              <w:top w:w="70" w:type="dxa"/>
              <w:start w:w="95" w:type="dxa"/>
              <w:bottom w:w="70" w:type="dxa"/>
              <w:end w:w="95" w:type="dxa"/>
            </w:tcMar>
            <w:shd w:fill="EEF3F7"/>
          </w:tcPr>
          <w:p>
            <w:pPr>
              <w:jc w:val="left"/>
            </w:pPr>
            <w:r>
              <w:rPr>
                <w:sz w:val="16"/>
              </w:rPr>
              <w:t>Avaliar o impacto incremental em conjunto com a carga ambiental acumulada</w:t>
            </w:r>
          </w:p>
        </w:tc>
      </w:tr>
      <w:tr>
        <w:tc>
          <w:tcPr>
            <w:tcW w:type="dxa" w:w="1944"/>
            <w:tcMar>
              <w:top w:w="70" w:type="dxa"/>
              <w:start w:w="95" w:type="dxa"/>
              <w:bottom w:w="70" w:type="dxa"/>
              <w:end w:w="95" w:type="dxa"/>
            </w:tcMar>
          </w:tcPr>
          <w:p>
            <w:pPr>
              <w:jc w:val="left"/>
            </w:pPr>
            <w:r>
              <w:rPr>
                <w:b/>
                <w:sz w:val="16"/>
              </w:rPr>
              <w:t>EIA Rima</w:t>
            </w:r>
          </w:p>
        </w:tc>
        <w:tc>
          <w:tcPr>
            <w:tcW w:type="dxa" w:w="3672"/>
            <w:tcMar>
              <w:top w:w="70" w:type="dxa"/>
              <w:start w:w="95" w:type="dxa"/>
              <w:bottom w:w="70" w:type="dxa"/>
              <w:end w:w="95" w:type="dxa"/>
            </w:tcMar>
          </w:tcPr>
          <w:p>
            <w:pPr>
              <w:jc w:val="left"/>
            </w:pPr>
            <w:r>
              <w:rPr>
                <w:sz w:val="16"/>
              </w:rPr>
              <w:t>Pode ser dispensado mediante decisão da CECA</w:t>
            </w:r>
          </w:p>
        </w:tc>
        <w:tc>
          <w:tcPr>
            <w:tcW w:type="dxa" w:w="4176"/>
            <w:tcMar>
              <w:top w:w="70" w:type="dxa"/>
              <w:start w:w="95" w:type="dxa"/>
              <w:bottom w:w="70" w:type="dxa"/>
              <w:end w:w="95" w:type="dxa"/>
            </w:tcMar>
          </w:tcPr>
          <w:p>
            <w:pPr>
              <w:jc w:val="left"/>
            </w:pPr>
            <w:r>
              <w:rPr>
                <w:sz w:val="16"/>
              </w:rPr>
              <w:t>Fundamentar a dispensa com análise territorial e exposição pública dos critérios</w:t>
            </w:r>
          </w:p>
        </w:tc>
      </w:tr>
      <w:tr>
        <w:tc>
          <w:tcPr>
            <w:tcW w:type="dxa" w:w="1944"/>
            <w:tcMar>
              <w:top w:w="70" w:type="dxa"/>
              <w:start w:w="95" w:type="dxa"/>
              <w:bottom w:w="70" w:type="dxa"/>
              <w:end w:w="95" w:type="dxa"/>
            </w:tcMar>
            <w:shd w:fill="EEF3F7"/>
          </w:tcPr>
          <w:p>
            <w:pPr>
              <w:jc w:val="left"/>
            </w:pPr>
            <w:r>
              <w:rPr>
                <w:b/>
                <w:sz w:val="16"/>
              </w:rPr>
              <w:t>LAI e LAE</w:t>
            </w:r>
          </w:p>
        </w:tc>
        <w:tc>
          <w:tcPr>
            <w:tcW w:type="dxa" w:w="3672"/>
            <w:tcMar>
              <w:top w:w="70" w:type="dxa"/>
              <w:start w:w="95" w:type="dxa"/>
              <w:bottom w:w="70" w:type="dxa"/>
              <w:end w:w="95" w:type="dxa"/>
            </w:tcMar>
            <w:shd w:fill="EEF3F7"/>
          </w:tcPr>
          <w:p>
            <w:pPr>
              <w:jc w:val="left"/>
            </w:pPr>
            <w:r>
              <w:rPr>
                <w:sz w:val="16"/>
              </w:rPr>
              <w:t>Aceleram e concentram etapas decisórias</w:t>
            </w:r>
          </w:p>
        </w:tc>
        <w:tc>
          <w:tcPr>
            <w:tcW w:type="dxa" w:w="4176"/>
            <w:tcMar>
              <w:top w:w="70" w:type="dxa"/>
              <w:start w:w="95" w:type="dxa"/>
              <w:bottom w:w="70" w:type="dxa"/>
              <w:end w:w="95" w:type="dxa"/>
            </w:tcMar>
            <w:shd w:fill="EEF3F7"/>
          </w:tcPr>
          <w:p>
            <w:pPr>
              <w:jc w:val="left"/>
            </w:pPr>
            <w:r>
              <w:rPr>
                <w:sz w:val="16"/>
              </w:rPr>
              <w:t>Preservar comparação de alternativas e independência técnica do órgão ambiental</w:t>
            </w:r>
          </w:p>
        </w:tc>
      </w:tr>
      <w:tr>
        <w:tc>
          <w:tcPr>
            <w:tcW w:type="dxa" w:w="1944"/>
            <w:tcMar>
              <w:top w:w="70" w:type="dxa"/>
              <w:start w:w="95" w:type="dxa"/>
              <w:bottom w:w="70" w:type="dxa"/>
              <w:end w:w="95" w:type="dxa"/>
            </w:tcMar>
          </w:tcPr>
          <w:p>
            <w:pPr>
              <w:jc w:val="left"/>
            </w:pPr>
            <w:r>
              <w:rPr>
                <w:b/>
                <w:sz w:val="16"/>
              </w:rPr>
              <w:t>Dragagem</w:t>
            </w:r>
          </w:p>
        </w:tc>
        <w:tc>
          <w:tcPr>
            <w:tcW w:type="dxa" w:w="3672"/>
            <w:tcMar>
              <w:top w:w="70" w:type="dxa"/>
              <w:start w:w="95" w:type="dxa"/>
              <w:bottom w:w="70" w:type="dxa"/>
              <w:end w:w="95" w:type="dxa"/>
            </w:tcMar>
          </w:tcPr>
          <w:p>
            <w:pPr>
              <w:jc w:val="left"/>
            </w:pPr>
            <w:r>
              <w:rPr>
                <w:sz w:val="16"/>
              </w:rPr>
              <w:t>Manutenção pode ser dispensada de licença</w:t>
            </w:r>
          </w:p>
        </w:tc>
        <w:tc>
          <w:tcPr>
            <w:tcW w:type="dxa" w:w="4176"/>
            <w:tcMar>
              <w:top w:w="70" w:type="dxa"/>
              <w:start w:w="95" w:type="dxa"/>
              <w:bottom w:w="70" w:type="dxa"/>
              <w:end w:w="95" w:type="dxa"/>
            </w:tcMar>
          </w:tcPr>
          <w:p>
            <w:pPr>
              <w:jc w:val="left"/>
            </w:pPr>
            <w:r>
              <w:rPr>
                <w:sz w:val="16"/>
              </w:rPr>
              <w:t>Controlar caracterização, transporte e disposição dos sedimentos</w:t>
            </w:r>
          </w:p>
        </w:tc>
      </w:tr>
      <w:tr>
        <w:tc>
          <w:tcPr>
            <w:tcW w:type="dxa" w:w="1944"/>
            <w:tcMar>
              <w:top w:w="70" w:type="dxa"/>
              <w:start w:w="95" w:type="dxa"/>
              <w:bottom w:w="70" w:type="dxa"/>
              <w:end w:w="95" w:type="dxa"/>
            </w:tcMar>
            <w:shd w:fill="EEF3F7"/>
          </w:tcPr>
          <w:p>
            <w:pPr>
              <w:jc w:val="left"/>
            </w:pPr>
            <w:r>
              <w:rPr>
                <w:b/>
                <w:sz w:val="16"/>
              </w:rPr>
              <w:t>Participação</w:t>
            </w:r>
          </w:p>
        </w:tc>
        <w:tc>
          <w:tcPr>
            <w:tcW w:type="dxa" w:w="3672"/>
            <w:tcMar>
              <w:top w:w="70" w:type="dxa"/>
              <w:start w:w="95" w:type="dxa"/>
              <w:bottom w:w="70" w:type="dxa"/>
              <w:end w:w="95" w:type="dxa"/>
            </w:tcMar>
            <w:shd w:fill="EEF3F7"/>
          </w:tcPr>
          <w:p>
            <w:pPr>
              <w:jc w:val="left"/>
            </w:pPr>
            <w:r>
              <w:rPr>
                <w:sz w:val="16"/>
              </w:rPr>
              <w:t>Audiência mínima e demais mecanismos em grande parte facultativos</w:t>
            </w:r>
          </w:p>
        </w:tc>
        <w:tc>
          <w:tcPr>
            <w:tcW w:type="dxa" w:w="4176"/>
            <w:tcMar>
              <w:top w:w="70" w:type="dxa"/>
              <w:start w:w="95" w:type="dxa"/>
              <w:bottom w:w="70" w:type="dxa"/>
              <w:end w:w="95" w:type="dxa"/>
            </w:tcMar>
            <w:shd w:fill="EEF3F7"/>
          </w:tcPr>
          <w:p>
            <w:pPr>
              <w:jc w:val="left"/>
            </w:pPr>
            <w:r>
              <w:rPr>
                <w:sz w:val="16"/>
              </w:rPr>
              <w:t>Realizar participação desde o termo de referência e publicar respostas fundamentadas</w:t>
            </w:r>
          </w:p>
        </w:tc>
      </w:tr>
    </w:tbl>
    <w:p>
      <w:pPr>
        <w:pStyle w:val="Heading1"/>
      </w:pPr>
      <w:r>
        <w:t>Conclusão</w:t>
      </w:r>
    </w:p>
    <w:p>
      <w:r>
        <w:t>O novo SELCA não elimina o licenciamento ambiental, mas desloca parte importante de sua eficácia para decisões posteriores do Inea e da CECA. O decreto contém instrumentos capazes de produzir avaliações mais integradas, monitoramento climático e compensações socioambientais, mas também oferece caminhos para acelerar procedimentos, dispensar estudos e decompor grandes complexos em projetos menores. No Estado do Rio de Janeiro, marcado por forte pressão de empreendimentos portuários, petrolíferos, termelétricos e minerários, simplificar procedimentos sem fortalecer equipes técnicas, transparência e fiscalização pode converter eficiência administrativa em redução do controle público.</w:t>
      </w:r>
    </w:p>
    <w:p>
      <w:r>
        <w:t>O teste decisivo será o tratamento dado aos territórios que já acumulam sucessivas licenças. No Porto do Açu, o licenciamento não pode continuar perguntando apenas qual é o impacto de cada novo empreendimento. Deve perguntar quanto o território já perdeu, quais limites ambientais estão sendo ultrapassados, quem suporta os custos e quantos novos projetos ainda podem ser absorvidos. Sem essa mudança de escala, o Estado continuará licenciando partes enquanto deixa de avaliar o todo.</w:t>
      </w:r>
    </w:p>
    <w:p>
      <w:pPr>
        <w:pStyle w:val="Heading1"/>
      </w:pPr>
      <w:r>
        <w:t>Referências normativas</w:t>
      </w:r>
    </w:p>
    <w:p>
      <w:pPr>
        <w:spacing w:after="80"/>
        <w:ind w:left="360" w:hanging="360"/>
      </w:pPr>
      <w:r>
        <w:rPr>
          <w:sz w:val="18"/>
        </w:rPr>
        <w:t>RIO DE JANEIRO. Decreto nº 50.473, de 15 de setembro de 2026. Dispõe sobre o Sistema Estadual de Licenciamento e demais Procedimentos de Controle Ambiental.</w:t>
      </w:r>
    </w:p>
    <w:p>
      <w:pPr>
        <w:spacing w:after="80"/>
        <w:ind w:left="360" w:hanging="360"/>
      </w:pPr>
      <w:r>
        <w:rPr>
          <w:sz w:val="18"/>
        </w:rPr>
        <w:t>BRASIL. Lei nº 15.190, de 8 de agosto de 2025. Dispõe sobre o licenciamento ambiental.</w:t>
      </w:r>
    </w:p>
    <w:p>
      <w:pPr>
        <w:spacing w:after="80"/>
        <w:ind w:left="360" w:hanging="360"/>
      </w:pPr>
      <w:r>
        <w:rPr>
          <w:sz w:val="18"/>
        </w:rPr>
        <w:t>BRASIL. Lei nº 15.300, de 22 de dezembro de 2025. Dispõe sobre o licenciamento ambiental especial.</w:t>
      </w:r>
    </w:p>
    <w:p>
      <w:pPr>
        <w:spacing w:after="80"/>
        <w:ind w:left="360" w:hanging="360"/>
      </w:pPr>
      <w:r>
        <w:rPr>
          <w:sz w:val="18"/>
        </w:rPr>
        <w:t>ORGANIZAÇÃO INTERNACIONAL DO TRABALHO. Convenção nº 169 sobre Povos Indígenas e Tribais.</w:t>
      </w:r>
    </w:p>
    <w:sectPr w:rsidR="00FC693F" w:rsidRPr="0006063C" w:rsidSect="00034616">
      <w:footerReference w:type="default" r:id="rId9"/>
      <w:pgSz w:w="12240" w:h="15840"/>
      <w:pgMar w:top="1080"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A5A5A"/>
        <w:sz w:val="16"/>
      </w:rPr>
      <w:t>Análise do Decreto nº 50.473 de 15 de setembro de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4" w:lineRule="auto" w:after="120"/>
      <w:jc w:val="both"/>
    </w:pPr>
    <w:rPr>
      <w:rFonts w:ascii="Aptos" w:hAnsi="Aptos"/>
      <w:color w:val="14141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ptos Display" w:hAnsi="Aptos Display"/>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ascii="Aptos Display" w:hAnsi="Aptos Display"/>
      <w:b/>
      <w:color w:val="00000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ocumentofonte">
    <w:name w:val="Documento fonte"/>
    <w:pPr>
      <w:spacing w:after="240"/>
    </w:pPr>
    <w:rPr>
      <w:rFonts w:ascii="Aptos" w:hAnsi="Aptos"/>
      <w:i/>
      <w:color w:val="505050"/>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Análise do novo licenciamento ambiental do Estado do Rio de Janeiro</dc:title>
  <dc:subject>Decreto nº 50.473 de 15 de setembro de 2026</dc:subject>
  <dc:creator/>
  <cp:keywords>licenciamento ambiental; Rio de Janeiro; Porto do Açu; participação pública</cp:keywords>
  <dc:description>generated by python-docx</dc:description>
  <cp:lastModifiedBy/>
  <cp:revision>1</cp:revision>
  <dcterms:created xsi:type="dcterms:W3CDTF">2013-12-23T23:15:00Z</dcterms:created>
  <dcterms:modified xsi:type="dcterms:W3CDTF">2013-12-23T23:15:00Z</dcterms:modified>
  <cp:category/>
</cp:coreProperties>
</file>